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7E2D" w14:textId="77777777" w:rsidR="00252265" w:rsidRPr="00096611" w:rsidRDefault="00252265" w:rsidP="00905CC8">
      <w:pPr>
        <w:widowControl w:val="0"/>
        <w:rPr>
          <w:rFonts w:ascii="Calibri" w:hAnsi="Calibri" w:cs="Tahoma"/>
          <w:b/>
          <w:sz w:val="32"/>
          <w:szCs w:val="40"/>
          <w:u w:val="single"/>
        </w:rPr>
      </w:pPr>
      <w:r w:rsidRPr="00096611">
        <w:rPr>
          <w:rFonts w:ascii="Calibri" w:hAnsi="Calibri" w:cs="Tahoma"/>
          <w:b/>
          <w:sz w:val="32"/>
          <w:szCs w:val="40"/>
          <w:u w:val="single"/>
        </w:rPr>
        <w:t>Annual Notification of Benefit Rights</w:t>
      </w:r>
    </w:p>
    <w:p w14:paraId="20F05845" w14:textId="77777777" w:rsidR="00252265" w:rsidRPr="00096611" w:rsidRDefault="00252265" w:rsidP="00252265">
      <w:pPr>
        <w:widowControl w:val="0"/>
        <w:rPr>
          <w:rFonts w:ascii="Calibri" w:hAnsi="Calibri" w:cs="Arial"/>
          <w:sz w:val="22"/>
          <w:szCs w:val="22"/>
          <w:u w:val="single"/>
        </w:rPr>
      </w:pPr>
    </w:p>
    <w:p w14:paraId="3F771354" w14:textId="77777777" w:rsidR="00CF74CB" w:rsidRDefault="00CF74CB" w:rsidP="00A7259B">
      <w:pPr>
        <w:widowControl w:val="0"/>
        <w:rPr>
          <w:rFonts w:ascii="Calibri" w:hAnsi="Calibri" w:cs="Arial"/>
          <w:b/>
          <w:bCs/>
          <w:color w:val="auto"/>
          <w:sz w:val="24"/>
          <w:szCs w:val="22"/>
          <w:u w:val="single"/>
        </w:rPr>
      </w:pPr>
    </w:p>
    <w:p w14:paraId="562D4333" w14:textId="05F08622" w:rsidR="009C7331" w:rsidRPr="00CF74CB" w:rsidRDefault="00905CC8" w:rsidP="00905CC8">
      <w:pPr>
        <w:pStyle w:val="CM8"/>
        <w:spacing w:after="0"/>
        <w:jc w:val="center"/>
        <w:rPr>
          <w:rFonts w:ascii="Calibri" w:hAnsi="Calibri" w:cs="Tahoma"/>
          <w:b/>
          <w:bCs/>
          <w:color w:val="000000"/>
          <w:szCs w:val="28"/>
          <w:u w:val="single"/>
        </w:rPr>
      </w:pPr>
      <w:r>
        <w:rPr>
          <w:rFonts w:ascii="Calibri" w:hAnsi="Calibri" w:cs="Tahoma"/>
          <w:b/>
          <w:bCs/>
          <w:color w:val="000000"/>
          <w:sz w:val="28"/>
          <w:szCs w:val="28"/>
          <w:u w:val="single"/>
        </w:rPr>
        <w:t>202</w:t>
      </w:r>
      <w:r w:rsidR="00F404F2">
        <w:rPr>
          <w:rFonts w:ascii="Calibri" w:hAnsi="Calibri" w:cs="Tahoma"/>
          <w:b/>
          <w:bCs/>
          <w:color w:val="000000"/>
          <w:sz w:val="28"/>
          <w:szCs w:val="28"/>
          <w:u w:val="single"/>
        </w:rPr>
        <w:t>3</w:t>
      </w:r>
      <w:r>
        <w:rPr>
          <w:rFonts w:ascii="Calibri" w:hAnsi="Calibri" w:cs="Tahoma"/>
          <w:b/>
          <w:bCs/>
          <w:color w:val="000000"/>
          <w:sz w:val="28"/>
          <w:szCs w:val="28"/>
          <w:u w:val="single"/>
        </w:rPr>
        <w:t xml:space="preserve"> </w:t>
      </w:r>
      <w:r w:rsidR="009C7331" w:rsidRPr="00447D6A">
        <w:rPr>
          <w:rFonts w:ascii="Calibri" w:hAnsi="Calibri" w:cs="Tahoma"/>
          <w:b/>
          <w:bCs/>
          <w:color w:val="000000"/>
          <w:sz w:val="28"/>
          <w:szCs w:val="28"/>
          <w:u w:val="single"/>
        </w:rPr>
        <w:t>Medicare Part D Notice of Creditable Coverage</w:t>
      </w:r>
    </w:p>
    <w:p w14:paraId="2177D285" w14:textId="77777777" w:rsidR="009C7331" w:rsidRPr="00CF74CB" w:rsidRDefault="009C7331" w:rsidP="009C7331">
      <w:pPr>
        <w:pStyle w:val="CM8"/>
        <w:spacing w:after="0"/>
        <w:rPr>
          <w:rFonts w:ascii="Calibri" w:hAnsi="Calibri" w:cs="Tahoma"/>
          <w:b/>
          <w:bCs/>
          <w:color w:val="000000"/>
          <w:szCs w:val="28"/>
        </w:rPr>
      </w:pPr>
    </w:p>
    <w:p w14:paraId="0CD40DBD" w14:textId="010B286D" w:rsidR="009C7331" w:rsidRPr="00350FE9" w:rsidRDefault="009C7331" w:rsidP="009C7331">
      <w:pPr>
        <w:widowControl w:val="0"/>
        <w:jc w:val="center"/>
        <w:rPr>
          <w:rFonts w:ascii="Calibri" w:hAnsi="Calibri"/>
          <w:b/>
          <w:sz w:val="28"/>
          <w:szCs w:val="16"/>
        </w:rPr>
      </w:pPr>
      <w:r w:rsidRPr="00447D6A">
        <w:rPr>
          <w:rFonts w:ascii="Calibri" w:hAnsi="Calibri"/>
          <w:b/>
          <w:sz w:val="28"/>
          <w:szCs w:val="16"/>
        </w:rPr>
        <w:t xml:space="preserve">Important Notice from </w:t>
      </w:r>
      <w:r w:rsidR="00350FE9" w:rsidRPr="00350FE9">
        <w:rPr>
          <w:rFonts w:ascii="Calibri" w:hAnsi="Calibri"/>
          <w:b/>
          <w:sz w:val="28"/>
          <w:szCs w:val="16"/>
        </w:rPr>
        <w:t>Premier Talent Partners</w:t>
      </w:r>
    </w:p>
    <w:p w14:paraId="3E1FC1D5" w14:textId="2B307318" w:rsidR="009C7331" w:rsidRPr="00350FE9" w:rsidRDefault="006520F1" w:rsidP="009C7331">
      <w:pPr>
        <w:widowControl w:val="0"/>
        <w:jc w:val="center"/>
        <w:rPr>
          <w:rFonts w:ascii="Calibri" w:hAnsi="Calibri"/>
          <w:b/>
          <w:sz w:val="28"/>
          <w:szCs w:val="16"/>
        </w:rPr>
      </w:pPr>
      <w:r w:rsidRPr="00350FE9">
        <w:rPr>
          <w:rFonts w:ascii="Calibri" w:hAnsi="Calibri"/>
          <w:b/>
          <w:sz w:val="28"/>
          <w:szCs w:val="16"/>
        </w:rPr>
        <w:t>About</w:t>
      </w:r>
      <w:r w:rsidRPr="00350FE9">
        <w:rPr>
          <w:rFonts w:ascii="Calibri" w:hAnsi="Calibri"/>
          <w:b/>
          <w:sz w:val="28"/>
          <w:szCs w:val="16"/>
        </w:rPr>
        <w:t xml:space="preserve"> </w:t>
      </w:r>
      <w:r w:rsidR="009C7331" w:rsidRPr="00350FE9">
        <w:rPr>
          <w:rFonts w:ascii="Calibri" w:hAnsi="Calibri"/>
          <w:b/>
          <w:sz w:val="28"/>
          <w:szCs w:val="16"/>
        </w:rPr>
        <w:t>Your Prescription Drug Coverage and Medicare</w:t>
      </w:r>
    </w:p>
    <w:p w14:paraId="635BEEBB" w14:textId="77777777" w:rsidR="009C7331" w:rsidRPr="00350FE9" w:rsidRDefault="009C7331" w:rsidP="009C7331">
      <w:pPr>
        <w:widowControl w:val="0"/>
        <w:rPr>
          <w:rFonts w:ascii="Calibri" w:hAnsi="Calibri"/>
          <w:sz w:val="22"/>
          <w:szCs w:val="16"/>
        </w:rPr>
      </w:pPr>
    </w:p>
    <w:p w14:paraId="58E25A6B" w14:textId="4F7B9C41" w:rsidR="009C7331" w:rsidRPr="00350FE9" w:rsidRDefault="009C7331" w:rsidP="009C7331">
      <w:pPr>
        <w:widowControl w:val="0"/>
        <w:rPr>
          <w:rFonts w:ascii="Calibri" w:hAnsi="Calibri"/>
          <w:b/>
          <w:sz w:val="22"/>
          <w:szCs w:val="16"/>
        </w:rPr>
      </w:pPr>
      <w:r w:rsidRPr="00350FE9">
        <w:rPr>
          <w:rFonts w:ascii="Calibri" w:hAnsi="Calibri"/>
          <w:b/>
          <w:sz w:val="22"/>
          <w:szCs w:val="16"/>
        </w:rPr>
        <w:t xml:space="preserve">Please read this notice carefully and keep it where you can find it. This notice has information about your current prescription drug coverage with </w:t>
      </w:r>
      <w:r w:rsidR="00350FE9" w:rsidRPr="00350FE9">
        <w:rPr>
          <w:rFonts w:ascii="Calibri" w:hAnsi="Calibri"/>
          <w:b/>
          <w:sz w:val="22"/>
          <w:szCs w:val="16"/>
        </w:rPr>
        <w:t>Premier Talent Partners</w:t>
      </w:r>
      <w:r w:rsidRPr="00350FE9">
        <w:rPr>
          <w:rFonts w:ascii="Calibri" w:hAnsi="Calibri"/>
          <w:b/>
          <w:sz w:val="22"/>
          <w:szCs w:val="16"/>
        </w:rPr>
        <w:t xml:space="preserve"> and about your options under Medicare’s prescription drug coverage. This information can help you decide </w:t>
      </w:r>
      <w:proofErr w:type="gramStart"/>
      <w:r w:rsidRPr="00350FE9">
        <w:rPr>
          <w:rFonts w:ascii="Calibri" w:hAnsi="Calibri"/>
          <w:b/>
          <w:sz w:val="22"/>
          <w:szCs w:val="16"/>
        </w:rPr>
        <w:t>whether or not</w:t>
      </w:r>
      <w:proofErr w:type="gramEnd"/>
      <w:r w:rsidRPr="00350FE9">
        <w:rPr>
          <w:rFonts w:ascii="Calibri" w:hAnsi="Calibri"/>
          <w:b/>
          <w:sz w:val="22"/>
          <w:szCs w:val="16"/>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7EB39694" w14:textId="77777777" w:rsidR="009C7331" w:rsidRPr="00350FE9" w:rsidRDefault="009C7331" w:rsidP="009C7331">
      <w:pPr>
        <w:widowControl w:val="0"/>
        <w:rPr>
          <w:rFonts w:ascii="Calibri" w:hAnsi="Calibri"/>
          <w:b/>
          <w:sz w:val="22"/>
          <w:szCs w:val="16"/>
        </w:rPr>
      </w:pPr>
    </w:p>
    <w:p w14:paraId="4AA4B88E" w14:textId="77777777" w:rsidR="009C7331" w:rsidRPr="00350FE9" w:rsidRDefault="009C7331" w:rsidP="009C7331">
      <w:pPr>
        <w:widowControl w:val="0"/>
        <w:rPr>
          <w:rFonts w:ascii="Calibri" w:hAnsi="Calibri"/>
          <w:b/>
          <w:sz w:val="22"/>
          <w:szCs w:val="16"/>
        </w:rPr>
      </w:pPr>
      <w:r w:rsidRPr="00350FE9">
        <w:rPr>
          <w:rFonts w:ascii="Calibri" w:hAnsi="Calibri"/>
          <w:b/>
          <w:sz w:val="22"/>
          <w:szCs w:val="16"/>
        </w:rPr>
        <w:t xml:space="preserve">There are two important things you need to know about your current coverage and Medicare’s prescription drug coverage: </w:t>
      </w:r>
    </w:p>
    <w:p w14:paraId="2C49051E" w14:textId="77777777" w:rsidR="009C7331" w:rsidRPr="00350FE9" w:rsidRDefault="009C7331" w:rsidP="009C7331">
      <w:pPr>
        <w:widowControl w:val="0"/>
        <w:rPr>
          <w:rFonts w:ascii="Calibri" w:hAnsi="Calibri"/>
          <w:b/>
          <w:sz w:val="22"/>
          <w:szCs w:val="16"/>
        </w:rPr>
      </w:pPr>
    </w:p>
    <w:p w14:paraId="08560819" w14:textId="77777777" w:rsidR="009C7331" w:rsidRPr="00350FE9" w:rsidRDefault="009C7331" w:rsidP="009C7331">
      <w:pPr>
        <w:widowControl w:val="0"/>
        <w:rPr>
          <w:rFonts w:ascii="Calibri" w:hAnsi="Calibri"/>
          <w:b/>
          <w:sz w:val="22"/>
          <w:szCs w:val="16"/>
        </w:rPr>
      </w:pPr>
      <w:r w:rsidRPr="00350FE9">
        <w:rPr>
          <w:rFonts w:ascii="Calibri" w:hAnsi="Calibri"/>
          <w:b/>
          <w:sz w:val="22"/>
          <w:szCs w:val="16"/>
        </w:rPr>
        <w:t>1.</w:t>
      </w:r>
      <w:r w:rsidRPr="00350FE9">
        <w:rPr>
          <w:rFonts w:ascii="Calibri" w:hAnsi="Calibri"/>
          <w:b/>
          <w:sz w:val="22"/>
          <w:szCs w:val="16"/>
        </w:rPr>
        <w:tab/>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67816366" w14:textId="77777777" w:rsidR="009C7331" w:rsidRPr="00350FE9" w:rsidRDefault="009C7331" w:rsidP="009C7331">
      <w:pPr>
        <w:widowControl w:val="0"/>
        <w:rPr>
          <w:rFonts w:ascii="Calibri" w:hAnsi="Calibri"/>
          <w:b/>
          <w:sz w:val="22"/>
          <w:szCs w:val="16"/>
        </w:rPr>
      </w:pPr>
    </w:p>
    <w:p w14:paraId="69CF225C" w14:textId="162DA654" w:rsidR="009C7331" w:rsidRPr="00350FE9" w:rsidRDefault="009C7331" w:rsidP="009C7331">
      <w:pPr>
        <w:widowControl w:val="0"/>
        <w:rPr>
          <w:rFonts w:ascii="Calibri" w:hAnsi="Calibri"/>
          <w:b/>
          <w:sz w:val="22"/>
          <w:szCs w:val="16"/>
        </w:rPr>
      </w:pPr>
      <w:r w:rsidRPr="00350FE9">
        <w:rPr>
          <w:rFonts w:ascii="Calibri" w:hAnsi="Calibri"/>
          <w:b/>
          <w:sz w:val="22"/>
          <w:szCs w:val="16"/>
        </w:rPr>
        <w:t>2.</w:t>
      </w:r>
      <w:r w:rsidRPr="00350FE9">
        <w:rPr>
          <w:rFonts w:ascii="Calibri" w:hAnsi="Calibri"/>
          <w:b/>
          <w:sz w:val="22"/>
          <w:szCs w:val="16"/>
        </w:rPr>
        <w:tab/>
      </w:r>
      <w:r w:rsidR="00350FE9" w:rsidRPr="00350FE9">
        <w:rPr>
          <w:rFonts w:ascii="Calibri" w:hAnsi="Calibri"/>
          <w:b/>
          <w:sz w:val="22"/>
          <w:szCs w:val="16"/>
        </w:rPr>
        <w:t>Premier Talent Partners</w:t>
      </w:r>
      <w:r w:rsidRPr="00350FE9">
        <w:rPr>
          <w:rFonts w:ascii="Calibri" w:hAnsi="Calibri"/>
          <w:b/>
          <w:sz w:val="22"/>
          <w:szCs w:val="16"/>
        </w:rPr>
        <w:t xml:space="preserve"> has determined that the prescription drug coverage offered by the </w:t>
      </w:r>
      <w:r w:rsidR="00350FE9" w:rsidRPr="00350FE9">
        <w:rPr>
          <w:rFonts w:ascii="Calibri" w:hAnsi="Calibri"/>
          <w:b/>
          <w:sz w:val="22"/>
          <w:szCs w:val="16"/>
        </w:rPr>
        <w:t xml:space="preserve">Premier Staffing Inc Health and Welfare Plan </w:t>
      </w:r>
      <w:r w:rsidRPr="00350FE9">
        <w:rPr>
          <w:rFonts w:ascii="Calibri" w:hAnsi="Calibri"/>
          <w:b/>
          <w:sz w:val="22"/>
          <w:szCs w:val="16"/>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4A660940" w14:textId="77777777" w:rsidR="009C7331" w:rsidRPr="00350FE9" w:rsidRDefault="009C7331" w:rsidP="009C7331">
      <w:pPr>
        <w:widowControl w:val="0"/>
        <w:rPr>
          <w:rFonts w:ascii="Calibri" w:hAnsi="Calibri"/>
          <w:b/>
          <w:sz w:val="22"/>
          <w:szCs w:val="16"/>
        </w:rPr>
      </w:pPr>
    </w:p>
    <w:p w14:paraId="477DB052" w14:textId="77777777" w:rsidR="009C7331" w:rsidRPr="00350FE9" w:rsidRDefault="009C7331" w:rsidP="009C7331">
      <w:pPr>
        <w:widowControl w:val="0"/>
        <w:rPr>
          <w:rFonts w:ascii="Calibri" w:hAnsi="Calibri"/>
          <w:b/>
          <w:sz w:val="24"/>
          <w:szCs w:val="16"/>
        </w:rPr>
      </w:pPr>
      <w:r w:rsidRPr="00350FE9">
        <w:rPr>
          <w:rFonts w:ascii="Calibri" w:hAnsi="Calibri"/>
          <w:b/>
          <w:sz w:val="24"/>
          <w:szCs w:val="16"/>
        </w:rPr>
        <w:t xml:space="preserve">When Can You Join </w:t>
      </w:r>
      <w:proofErr w:type="gramStart"/>
      <w:r w:rsidRPr="00350FE9">
        <w:rPr>
          <w:rFonts w:ascii="Calibri" w:hAnsi="Calibri"/>
          <w:b/>
          <w:sz w:val="24"/>
          <w:szCs w:val="16"/>
        </w:rPr>
        <w:t>A</w:t>
      </w:r>
      <w:proofErr w:type="gramEnd"/>
      <w:r w:rsidRPr="00350FE9">
        <w:rPr>
          <w:rFonts w:ascii="Calibri" w:hAnsi="Calibri"/>
          <w:b/>
          <w:sz w:val="24"/>
          <w:szCs w:val="16"/>
        </w:rPr>
        <w:t xml:space="preserve"> Medicare Drug Plan? </w:t>
      </w:r>
    </w:p>
    <w:p w14:paraId="3BE20BFC" w14:textId="77777777" w:rsidR="009C7331" w:rsidRPr="00350FE9" w:rsidRDefault="009C7331" w:rsidP="009C7331">
      <w:pPr>
        <w:widowControl w:val="0"/>
        <w:rPr>
          <w:rFonts w:ascii="Calibri" w:hAnsi="Calibri"/>
          <w:sz w:val="22"/>
          <w:szCs w:val="16"/>
        </w:rPr>
      </w:pPr>
    </w:p>
    <w:p w14:paraId="69F2A659" w14:textId="77777777" w:rsidR="009C7331" w:rsidRPr="00350FE9" w:rsidRDefault="009C7331" w:rsidP="009C7331">
      <w:pPr>
        <w:widowControl w:val="0"/>
        <w:rPr>
          <w:rFonts w:ascii="Calibri" w:hAnsi="Calibri"/>
          <w:sz w:val="22"/>
          <w:szCs w:val="16"/>
        </w:rPr>
      </w:pPr>
      <w:r w:rsidRPr="00350FE9">
        <w:rPr>
          <w:rFonts w:ascii="Calibri" w:hAnsi="Calibri"/>
          <w:sz w:val="22"/>
          <w:szCs w:val="16"/>
        </w:rPr>
        <w:t xml:space="preserve">You can join a Medicare drug plan when you first become eligible for Medicare and each year from October 15th to December 7th. </w:t>
      </w:r>
    </w:p>
    <w:p w14:paraId="1CE4A270" w14:textId="77777777" w:rsidR="009C7331" w:rsidRPr="00350FE9" w:rsidRDefault="009C7331" w:rsidP="009C7331">
      <w:pPr>
        <w:widowControl w:val="0"/>
        <w:rPr>
          <w:rFonts w:ascii="Calibri" w:hAnsi="Calibri"/>
          <w:sz w:val="22"/>
          <w:szCs w:val="16"/>
        </w:rPr>
      </w:pPr>
    </w:p>
    <w:p w14:paraId="0A387111" w14:textId="77777777" w:rsidR="009C7331" w:rsidRPr="00350FE9" w:rsidRDefault="009C7331" w:rsidP="009C7331">
      <w:pPr>
        <w:widowControl w:val="0"/>
        <w:rPr>
          <w:rFonts w:ascii="Calibri" w:hAnsi="Calibri"/>
          <w:sz w:val="22"/>
          <w:szCs w:val="16"/>
        </w:rPr>
      </w:pPr>
      <w:r w:rsidRPr="00350FE9">
        <w:rPr>
          <w:rFonts w:ascii="Calibri" w:hAnsi="Calibri"/>
          <w:sz w:val="22"/>
          <w:szCs w:val="16"/>
        </w:rPr>
        <w:t xml:space="preserve">However, if you lose your current creditable prescription drug coverage, through no fault of your own, you will also be eligible for a two (2) month Special Enrollment Period (SEP) to join a Medicare drug plan. </w:t>
      </w:r>
    </w:p>
    <w:p w14:paraId="32564C81" w14:textId="77777777" w:rsidR="009C7331" w:rsidRPr="00350FE9" w:rsidRDefault="009C7331" w:rsidP="009C7331">
      <w:pPr>
        <w:widowControl w:val="0"/>
        <w:rPr>
          <w:rFonts w:ascii="Calibri" w:hAnsi="Calibri"/>
          <w:sz w:val="22"/>
          <w:szCs w:val="16"/>
        </w:rPr>
      </w:pPr>
    </w:p>
    <w:p w14:paraId="33C1B499" w14:textId="77777777" w:rsidR="009C7331" w:rsidRPr="00350FE9" w:rsidRDefault="009C7331" w:rsidP="009C7331">
      <w:pPr>
        <w:widowControl w:val="0"/>
        <w:rPr>
          <w:rFonts w:ascii="Calibri" w:hAnsi="Calibri"/>
          <w:b/>
          <w:sz w:val="24"/>
          <w:szCs w:val="16"/>
        </w:rPr>
      </w:pPr>
      <w:r w:rsidRPr="00350FE9">
        <w:rPr>
          <w:rFonts w:ascii="Calibri" w:hAnsi="Calibri"/>
          <w:b/>
          <w:sz w:val="24"/>
          <w:szCs w:val="16"/>
        </w:rPr>
        <w:t xml:space="preserve">What Happens </w:t>
      </w:r>
      <w:proofErr w:type="gramStart"/>
      <w:r w:rsidRPr="00350FE9">
        <w:rPr>
          <w:rFonts w:ascii="Calibri" w:hAnsi="Calibri"/>
          <w:b/>
          <w:sz w:val="24"/>
          <w:szCs w:val="16"/>
        </w:rPr>
        <w:t>To</w:t>
      </w:r>
      <w:proofErr w:type="gramEnd"/>
      <w:r w:rsidRPr="00350FE9">
        <w:rPr>
          <w:rFonts w:ascii="Calibri" w:hAnsi="Calibri"/>
          <w:b/>
          <w:sz w:val="24"/>
          <w:szCs w:val="16"/>
        </w:rPr>
        <w:t xml:space="preserve"> Your Current Coverage If You Decide to Join A Medicare Drug Plan? </w:t>
      </w:r>
    </w:p>
    <w:p w14:paraId="293A3337" w14:textId="77777777" w:rsidR="009C7331" w:rsidRPr="00350FE9" w:rsidRDefault="009C7331" w:rsidP="009C7331">
      <w:pPr>
        <w:widowControl w:val="0"/>
        <w:rPr>
          <w:rFonts w:ascii="Calibri" w:hAnsi="Calibri"/>
          <w:b/>
          <w:sz w:val="22"/>
          <w:szCs w:val="16"/>
        </w:rPr>
      </w:pPr>
    </w:p>
    <w:p w14:paraId="38CB9275" w14:textId="51F06C04" w:rsidR="009C7331" w:rsidRPr="00350FE9" w:rsidRDefault="009C7331" w:rsidP="009C7331">
      <w:pPr>
        <w:widowControl w:val="0"/>
        <w:rPr>
          <w:rFonts w:ascii="Calibri" w:hAnsi="Calibri"/>
          <w:sz w:val="22"/>
          <w:szCs w:val="16"/>
        </w:rPr>
      </w:pPr>
      <w:r w:rsidRPr="00350FE9">
        <w:rPr>
          <w:rFonts w:ascii="Calibri" w:hAnsi="Calibri"/>
          <w:sz w:val="22"/>
          <w:szCs w:val="16"/>
        </w:rPr>
        <w:t xml:space="preserve">If you decide to join a Medicare drug plan, your current </w:t>
      </w:r>
      <w:r w:rsidR="00350FE9" w:rsidRPr="00350FE9">
        <w:rPr>
          <w:rFonts w:ascii="Calibri" w:hAnsi="Calibri"/>
          <w:sz w:val="22"/>
          <w:szCs w:val="16"/>
        </w:rPr>
        <w:t>Premier Talent Partners</w:t>
      </w:r>
      <w:r w:rsidRPr="00350FE9">
        <w:rPr>
          <w:rFonts w:ascii="Calibri" w:hAnsi="Calibri"/>
          <w:sz w:val="22"/>
          <w:szCs w:val="16"/>
        </w:rPr>
        <w:t xml:space="preserve"> coverage </w:t>
      </w:r>
      <w:r w:rsidR="003D62CB" w:rsidRPr="00350FE9">
        <w:rPr>
          <w:rFonts w:ascii="Calibri" w:hAnsi="Calibri"/>
          <w:sz w:val="22"/>
          <w:szCs w:val="16"/>
        </w:rPr>
        <w:t>may</w:t>
      </w:r>
      <w:r w:rsidRPr="00350FE9">
        <w:rPr>
          <w:rFonts w:ascii="Calibri" w:hAnsi="Calibri"/>
          <w:sz w:val="22"/>
          <w:szCs w:val="16"/>
        </w:rPr>
        <w:t xml:space="preserve"> be affected. </w:t>
      </w:r>
    </w:p>
    <w:p w14:paraId="74BE654C" w14:textId="77777777" w:rsidR="009C7331" w:rsidRPr="00350FE9" w:rsidRDefault="009C7331" w:rsidP="009C7331">
      <w:pPr>
        <w:widowControl w:val="0"/>
        <w:rPr>
          <w:rFonts w:ascii="Calibri" w:hAnsi="Calibri"/>
          <w:sz w:val="22"/>
          <w:szCs w:val="16"/>
        </w:rPr>
      </w:pPr>
    </w:p>
    <w:p w14:paraId="474109CC" w14:textId="5A79004B" w:rsidR="009C7331" w:rsidRPr="009C7331" w:rsidRDefault="009C7331" w:rsidP="009C7331">
      <w:pPr>
        <w:widowControl w:val="0"/>
        <w:rPr>
          <w:rFonts w:ascii="Calibri" w:hAnsi="Calibri"/>
          <w:sz w:val="22"/>
          <w:szCs w:val="16"/>
        </w:rPr>
      </w:pPr>
      <w:r w:rsidRPr="00350FE9">
        <w:rPr>
          <w:rFonts w:ascii="Calibri" w:hAnsi="Calibri"/>
          <w:sz w:val="22"/>
          <w:szCs w:val="16"/>
        </w:rPr>
        <w:t xml:space="preserve">If you do decide to join a Medicare drug plan and drop your current </w:t>
      </w:r>
      <w:r w:rsidR="00350FE9" w:rsidRPr="00350FE9">
        <w:rPr>
          <w:rFonts w:ascii="Calibri" w:hAnsi="Calibri"/>
          <w:sz w:val="22"/>
          <w:szCs w:val="16"/>
        </w:rPr>
        <w:t>Premier Talent Partners</w:t>
      </w:r>
      <w:r w:rsidRPr="00350FE9">
        <w:rPr>
          <w:rFonts w:ascii="Calibri" w:hAnsi="Calibri"/>
          <w:sz w:val="22"/>
          <w:szCs w:val="16"/>
        </w:rPr>
        <w:t xml:space="preserve"> coverage</w:t>
      </w:r>
      <w:r w:rsidRPr="009C7331">
        <w:rPr>
          <w:rFonts w:ascii="Calibri" w:hAnsi="Calibri"/>
          <w:sz w:val="22"/>
          <w:szCs w:val="16"/>
        </w:rPr>
        <w:t>, be aware that you and your dependents will not be able to get this coverage back</w:t>
      </w:r>
      <w:r w:rsidR="003D62CB">
        <w:rPr>
          <w:rFonts w:ascii="Calibri" w:hAnsi="Calibri"/>
          <w:sz w:val="22"/>
          <w:szCs w:val="16"/>
        </w:rPr>
        <w:t xml:space="preserve"> until the plan’s next open enrollment period</w:t>
      </w:r>
      <w:r w:rsidRPr="009C7331">
        <w:rPr>
          <w:rFonts w:ascii="Calibri" w:hAnsi="Calibri"/>
          <w:sz w:val="22"/>
          <w:szCs w:val="16"/>
        </w:rPr>
        <w:t xml:space="preserve">. </w:t>
      </w:r>
    </w:p>
    <w:p w14:paraId="2521B43F" w14:textId="77777777" w:rsidR="009C7331" w:rsidRPr="009C7331" w:rsidRDefault="009C7331" w:rsidP="009C7331">
      <w:pPr>
        <w:widowControl w:val="0"/>
        <w:rPr>
          <w:rFonts w:ascii="Calibri" w:hAnsi="Calibri"/>
          <w:sz w:val="22"/>
          <w:szCs w:val="16"/>
        </w:rPr>
      </w:pPr>
    </w:p>
    <w:p w14:paraId="190CA643" w14:textId="77777777" w:rsidR="009C7331" w:rsidRPr="004E69C5" w:rsidRDefault="009C7331" w:rsidP="004E69C5">
      <w:pPr>
        <w:keepNext/>
        <w:keepLines/>
        <w:rPr>
          <w:rFonts w:ascii="Calibri" w:hAnsi="Calibri"/>
          <w:b/>
          <w:sz w:val="24"/>
          <w:szCs w:val="16"/>
        </w:rPr>
      </w:pPr>
      <w:r w:rsidRPr="004E69C5">
        <w:rPr>
          <w:rFonts w:ascii="Calibri" w:hAnsi="Calibri"/>
          <w:b/>
          <w:sz w:val="24"/>
          <w:szCs w:val="16"/>
        </w:rPr>
        <w:lastRenderedPageBreak/>
        <w:t xml:space="preserve">When Will You Pay A Higher Premium (Penalty) To Join </w:t>
      </w:r>
      <w:proofErr w:type="gramStart"/>
      <w:r w:rsidRPr="004E69C5">
        <w:rPr>
          <w:rFonts w:ascii="Calibri" w:hAnsi="Calibri"/>
          <w:b/>
          <w:sz w:val="24"/>
          <w:szCs w:val="16"/>
        </w:rPr>
        <w:t>A</w:t>
      </w:r>
      <w:proofErr w:type="gramEnd"/>
      <w:r w:rsidRPr="004E69C5">
        <w:rPr>
          <w:rFonts w:ascii="Calibri" w:hAnsi="Calibri"/>
          <w:b/>
          <w:sz w:val="24"/>
          <w:szCs w:val="16"/>
        </w:rPr>
        <w:t xml:space="preserve"> Medicare Drug Plan? </w:t>
      </w:r>
    </w:p>
    <w:p w14:paraId="155315DC" w14:textId="77777777" w:rsidR="009C7331" w:rsidRPr="009C7331" w:rsidRDefault="009C7331" w:rsidP="004E69C5">
      <w:pPr>
        <w:keepNext/>
        <w:keepLines/>
        <w:rPr>
          <w:rFonts w:ascii="Calibri" w:hAnsi="Calibri"/>
          <w:sz w:val="22"/>
          <w:szCs w:val="16"/>
        </w:rPr>
      </w:pPr>
    </w:p>
    <w:p w14:paraId="2F7A5145" w14:textId="6491B4C8" w:rsidR="009C7331" w:rsidRPr="009C7331" w:rsidRDefault="009C7331" w:rsidP="004E69C5">
      <w:pPr>
        <w:keepNext/>
        <w:keepLines/>
        <w:rPr>
          <w:rFonts w:ascii="Calibri" w:hAnsi="Calibri"/>
          <w:sz w:val="22"/>
          <w:szCs w:val="16"/>
        </w:rPr>
      </w:pPr>
      <w:r w:rsidRPr="009C7331">
        <w:rPr>
          <w:rFonts w:ascii="Calibri" w:hAnsi="Calibri"/>
          <w:sz w:val="22"/>
          <w:szCs w:val="16"/>
        </w:rPr>
        <w:t xml:space="preserve">You should also know that if you drop or lose your current coverage with </w:t>
      </w:r>
      <w:r w:rsidR="00350FE9">
        <w:rPr>
          <w:rFonts w:ascii="Calibri" w:hAnsi="Calibri"/>
          <w:sz w:val="22"/>
          <w:szCs w:val="16"/>
        </w:rPr>
        <w:t>Premier Talent Partners</w:t>
      </w:r>
      <w:r w:rsidRPr="009C7331">
        <w:rPr>
          <w:rFonts w:ascii="Calibri" w:hAnsi="Calibri"/>
          <w:sz w:val="22"/>
          <w:szCs w:val="16"/>
        </w:rPr>
        <w:t xml:space="preserve"> and don’t join a Medicare drug plan within 63 continuous days after your current coverage ends, you may pay a higher premium (a penalty) to join a Medicare drug plan later. </w:t>
      </w:r>
    </w:p>
    <w:p w14:paraId="028C8E53" w14:textId="77777777" w:rsidR="009C7331" w:rsidRPr="009C7331" w:rsidRDefault="009C7331" w:rsidP="009C7331">
      <w:pPr>
        <w:widowControl w:val="0"/>
        <w:rPr>
          <w:rFonts w:ascii="Calibri" w:hAnsi="Calibri"/>
          <w:sz w:val="22"/>
          <w:szCs w:val="16"/>
        </w:rPr>
      </w:pPr>
    </w:p>
    <w:p w14:paraId="653CB9DA" w14:textId="77777777" w:rsidR="009C7331" w:rsidRPr="009C7331" w:rsidRDefault="009C7331" w:rsidP="009C7331">
      <w:pPr>
        <w:widowControl w:val="0"/>
        <w:rPr>
          <w:rFonts w:ascii="Calibri" w:hAnsi="Calibri"/>
          <w:sz w:val="22"/>
          <w:szCs w:val="16"/>
        </w:rPr>
      </w:pPr>
      <w:r w:rsidRPr="009C7331">
        <w:rPr>
          <w:rFonts w:ascii="Calibri" w:hAnsi="Calibri"/>
          <w:sz w:val="22"/>
          <w:szCs w:val="16"/>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9C7331">
        <w:rPr>
          <w:rFonts w:ascii="Calibri" w:hAnsi="Calibri"/>
          <w:sz w:val="22"/>
          <w:szCs w:val="16"/>
        </w:rPr>
        <w:t>as long as</w:t>
      </w:r>
      <w:proofErr w:type="gramEnd"/>
      <w:r w:rsidRPr="009C7331">
        <w:rPr>
          <w:rFonts w:ascii="Calibri" w:hAnsi="Calibri"/>
          <w:sz w:val="22"/>
          <w:szCs w:val="16"/>
        </w:rPr>
        <w:t xml:space="preserve"> you have Medicare prescription drug coverage. In addition, you may have to wait until the following October to join. </w:t>
      </w:r>
    </w:p>
    <w:p w14:paraId="65B2C6C6" w14:textId="77777777" w:rsidR="009C7331" w:rsidRPr="009C7331" w:rsidRDefault="009C7331" w:rsidP="009C7331">
      <w:pPr>
        <w:widowControl w:val="0"/>
        <w:rPr>
          <w:rFonts w:ascii="Calibri" w:hAnsi="Calibri"/>
          <w:sz w:val="22"/>
          <w:szCs w:val="16"/>
        </w:rPr>
      </w:pPr>
    </w:p>
    <w:p w14:paraId="16807DF6" w14:textId="77777777" w:rsidR="009C7331" w:rsidRPr="004E69C5" w:rsidRDefault="009C7331" w:rsidP="009C7331">
      <w:pPr>
        <w:widowControl w:val="0"/>
        <w:rPr>
          <w:rFonts w:ascii="Calibri" w:hAnsi="Calibri"/>
          <w:b/>
          <w:sz w:val="24"/>
          <w:szCs w:val="16"/>
        </w:rPr>
      </w:pPr>
      <w:r w:rsidRPr="004E69C5">
        <w:rPr>
          <w:rFonts w:ascii="Calibri" w:hAnsi="Calibri"/>
          <w:b/>
          <w:sz w:val="24"/>
          <w:szCs w:val="16"/>
        </w:rPr>
        <w:t xml:space="preserve">For More Information About This Notice </w:t>
      </w:r>
      <w:proofErr w:type="gramStart"/>
      <w:r w:rsidRPr="004E69C5">
        <w:rPr>
          <w:rFonts w:ascii="Calibri" w:hAnsi="Calibri"/>
          <w:b/>
          <w:sz w:val="24"/>
          <w:szCs w:val="16"/>
        </w:rPr>
        <w:t>Or</w:t>
      </w:r>
      <w:proofErr w:type="gramEnd"/>
      <w:r w:rsidRPr="004E69C5">
        <w:rPr>
          <w:rFonts w:ascii="Calibri" w:hAnsi="Calibri"/>
          <w:b/>
          <w:sz w:val="24"/>
          <w:szCs w:val="16"/>
        </w:rPr>
        <w:t xml:space="preserve"> Your Current Prescription Drug Coverage… </w:t>
      </w:r>
    </w:p>
    <w:p w14:paraId="5A6D0CA6" w14:textId="77777777" w:rsidR="009C7331" w:rsidRPr="009C7331" w:rsidRDefault="009C7331" w:rsidP="009C7331">
      <w:pPr>
        <w:widowControl w:val="0"/>
        <w:rPr>
          <w:rFonts w:ascii="Calibri" w:hAnsi="Calibri"/>
          <w:sz w:val="22"/>
          <w:szCs w:val="16"/>
        </w:rPr>
      </w:pPr>
    </w:p>
    <w:p w14:paraId="248B24AF" w14:textId="2D8B451D" w:rsidR="009C7331" w:rsidRPr="009C7331" w:rsidRDefault="009C7331" w:rsidP="009C7331">
      <w:pPr>
        <w:widowControl w:val="0"/>
        <w:rPr>
          <w:rFonts w:ascii="Calibri" w:hAnsi="Calibri"/>
          <w:sz w:val="22"/>
          <w:szCs w:val="16"/>
        </w:rPr>
      </w:pPr>
      <w:r w:rsidRPr="009C7331">
        <w:rPr>
          <w:rFonts w:ascii="Calibri" w:hAnsi="Calibri"/>
          <w:sz w:val="22"/>
          <w:szCs w:val="16"/>
        </w:rPr>
        <w:t xml:space="preserve">Contact the number listed below for further information.  NOTE: You’ll get this notice each year. You will also get it before the next period you can join a Medicare drug plan, and if this coverage through </w:t>
      </w:r>
      <w:r w:rsidR="00350FE9">
        <w:rPr>
          <w:rFonts w:ascii="Calibri" w:hAnsi="Calibri"/>
          <w:sz w:val="22"/>
          <w:szCs w:val="16"/>
        </w:rPr>
        <w:t>Premier Talent Partners</w:t>
      </w:r>
      <w:r w:rsidRPr="009C7331">
        <w:rPr>
          <w:rFonts w:ascii="Calibri" w:hAnsi="Calibri"/>
          <w:sz w:val="22"/>
          <w:szCs w:val="16"/>
        </w:rPr>
        <w:t xml:space="preserve"> changes. You also may request a copy of this notice at any time. </w:t>
      </w:r>
    </w:p>
    <w:p w14:paraId="090B0207" w14:textId="77777777" w:rsidR="009C7331" w:rsidRPr="009C7331" w:rsidRDefault="009C7331" w:rsidP="009C7331">
      <w:pPr>
        <w:widowControl w:val="0"/>
        <w:rPr>
          <w:rFonts w:ascii="Calibri" w:hAnsi="Calibri"/>
          <w:sz w:val="22"/>
          <w:szCs w:val="16"/>
        </w:rPr>
      </w:pPr>
    </w:p>
    <w:p w14:paraId="06597FB8" w14:textId="77777777" w:rsidR="009C7331" w:rsidRPr="004E69C5" w:rsidRDefault="009C7331" w:rsidP="009C7331">
      <w:pPr>
        <w:widowControl w:val="0"/>
        <w:rPr>
          <w:rFonts w:ascii="Calibri" w:hAnsi="Calibri"/>
          <w:b/>
          <w:sz w:val="24"/>
          <w:szCs w:val="16"/>
        </w:rPr>
      </w:pPr>
      <w:r w:rsidRPr="004E69C5">
        <w:rPr>
          <w:rFonts w:ascii="Calibri" w:hAnsi="Calibri"/>
          <w:b/>
          <w:sz w:val="24"/>
          <w:szCs w:val="16"/>
        </w:rPr>
        <w:t xml:space="preserve">For More Information About Your Options Under Medicare Prescription Drug Coverage… </w:t>
      </w:r>
    </w:p>
    <w:p w14:paraId="328559A9" w14:textId="77777777" w:rsidR="009C7331" w:rsidRPr="009C7331" w:rsidRDefault="009C7331" w:rsidP="009C7331">
      <w:pPr>
        <w:widowControl w:val="0"/>
        <w:rPr>
          <w:rFonts w:ascii="Calibri" w:hAnsi="Calibri"/>
          <w:sz w:val="22"/>
          <w:szCs w:val="16"/>
        </w:rPr>
      </w:pPr>
    </w:p>
    <w:p w14:paraId="40CD7B7E" w14:textId="77777777" w:rsidR="009C7331" w:rsidRPr="009C7331" w:rsidRDefault="009C7331" w:rsidP="009C7331">
      <w:pPr>
        <w:widowControl w:val="0"/>
        <w:rPr>
          <w:rFonts w:ascii="Calibri" w:hAnsi="Calibri"/>
          <w:sz w:val="22"/>
          <w:szCs w:val="16"/>
        </w:rPr>
      </w:pPr>
      <w:r w:rsidRPr="009C7331">
        <w:rPr>
          <w:rFonts w:ascii="Calibri" w:hAnsi="Calibri"/>
          <w:sz w:val="22"/>
          <w:szCs w:val="16"/>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2607551C" w14:textId="77777777" w:rsidR="009C7331" w:rsidRPr="009C7331" w:rsidRDefault="009C7331" w:rsidP="009C7331">
      <w:pPr>
        <w:widowControl w:val="0"/>
        <w:rPr>
          <w:rFonts w:ascii="Calibri" w:hAnsi="Calibri"/>
          <w:sz w:val="22"/>
          <w:szCs w:val="16"/>
        </w:rPr>
      </w:pPr>
    </w:p>
    <w:p w14:paraId="0258DFD4" w14:textId="77777777" w:rsidR="009C7331" w:rsidRPr="009C7331" w:rsidRDefault="009C7331" w:rsidP="009C7331">
      <w:pPr>
        <w:widowControl w:val="0"/>
        <w:rPr>
          <w:rFonts w:ascii="Calibri" w:hAnsi="Calibri"/>
          <w:sz w:val="22"/>
          <w:szCs w:val="16"/>
        </w:rPr>
      </w:pPr>
      <w:r w:rsidRPr="009C7331">
        <w:rPr>
          <w:rFonts w:ascii="Calibri" w:hAnsi="Calibri"/>
          <w:sz w:val="22"/>
          <w:szCs w:val="16"/>
        </w:rPr>
        <w:t xml:space="preserve">For more information about Medicare prescription drug coverage: </w:t>
      </w:r>
    </w:p>
    <w:p w14:paraId="268F7486" w14:textId="77777777" w:rsidR="009C7331" w:rsidRPr="009C7331" w:rsidRDefault="009C7331" w:rsidP="009C7331">
      <w:pPr>
        <w:widowControl w:val="0"/>
        <w:ind w:left="720"/>
        <w:rPr>
          <w:rFonts w:ascii="Calibri" w:hAnsi="Calibri"/>
          <w:sz w:val="22"/>
          <w:szCs w:val="16"/>
        </w:rPr>
      </w:pPr>
      <w:r w:rsidRPr="009C7331">
        <w:rPr>
          <w:rFonts w:ascii="Calibri" w:hAnsi="Calibri"/>
          <w:sz w:val="22"/>
          <w:szCs w:val="16"/>
        </w:rPr>
        <w:t>•</w:t>
      </w:r>
      <w:r w:rsidRPr="009C7331">
        <w:rPr>
          <w:rFonts w:ascii="Calibri" w:hAnsi="Calibri"/>
          <w:sz w:val="22"/>
          <w:szCs w:val="16"/>
        </w:rPr>
        <w:tab/>
        <w:t xml:space="preserve">Visit www.medicare.gov </w:t>
      </w:r>
    </w:p>
    <w:p w14:paraId="68760E79" w14:textId="77777777" w:rsidR="009C7331" w:rsidRPr="009C7331" w:rsidRDefault="009C7331" w:rsidP="009C7331">
      <w:pPr>
        <w:widowControl w:val="0"/>
        <w:ind w:left="1440" w:hanging="720"/>
        <w:rPr>
          <w:rFonts w:ascii="Calibri" w:hAnsi="Calibri"/>
          <w:sz w:val="22"/>
          <w:szCs w:val="16"/>
        </w:rPr>
      </w:pPr>
      <w:r w:rsidRPr="009C7331">
        <w:rPr>
          <w:rFonts w:ascii="Calibri" w:hAnsi="Calibri"/>
          <w:sz w:val="22"/>
          <w:szCs w:val="16"/>
        </w:rPr>
        <w:t>•</w:t>
      </w:r>
      <w:r w:rsidRPr="009C7331">
        <w:rPr>
          <w:rFonts w:ascii="Calibri" w:hAnsi="Calibri"/>
          <w:sz w:val="22"/>
          <w:szCs w:val="16"/>
        </w:rPr>
        <w:tab/>
        <w:t xml:space="preserve">Call your State Health Insurance Assistance Program (see the inside back cover of your copy of the “Medicare &amp; You” handbook for their telephone number) for personalized help </w:t>
      </w:r>
    </w:p>
    <w:p w14:paraId="141627FA" w14:textId="77777777" w:rsidR="009C7331" w:rsidRPr="009C7331" w:rsidRDefault="009C7331" w:rsidP="009C7331">
      <w:pPr>
        <w:widowControl w:val="0"/>
        <w:ind w:left="720"/>
        <w:rPr>
          <w:rFonts w:ascii="Calibri" w:hAnsi="Calibri"/>
          <w:sz w:val="22"/>
          <w:szCs w:val="16"/>
        </w:rPr>
      </w:pPr>
      <w:r w:rsidRPr="009C7331">
        <w:rPr>
          <w:rFonts w:ascii="Calibri" w:hAnsi="Calibri"/>
          <w:sz w:val="22"/>
          <w:szCs w:val="16"/>
        </w:rPr>
        <w:t>•</w:t>
      </w:r>
      <w:r w:rsidRPr="009C7331">
        <w:rPr>
          <w:rFonts w:ascii="Calibri" w:hAnsi="Calibri"/>
          <w:sz w:val="22"/>
          <w:szCs w:val="16"/>
        </w:rPr>
        <w:tab/>
        <w:t xml:space="preserve">Call 1-800-MEDICARE (1-800-633-4227). TTY users should call 1-877-486-2048. </w:t>
      </w:r>
    </w:p>
    <w:p w14:paraId="31086A81" w14:textId="77777777" w:rsidR="009C7331" w:rsidRPr="009C7331" w:rsidRDefault="009C7331" w:rsidP="009C7331">
      <w:pPr>
        <w:widowControl w:val="0"/>
        <w:rPr>
          <w:rFonts w:ascii="Calibri" w:hAnsi="Calibri"/>
          <w:sz w:val="22"/>
          <w:szCs w:val="16"/>
        </w:rPr>
      </w:pPr>
    </w:p>
    <w:p w14:paraId="2AEA91AF" w14:textId="77777777" w:rsidR="009C7331" w:rsidRPr="009C7331" w:rsidRDefault="009C7331" w:rsidP="009C7331">
      <w:pPr>
        <w:widowControl w:val="0"/>
        <w:rPr>
          <w:rFonts w:ascii="Calibri" w:hAnsi="Calibri"/>
          <w:sz w:val="22"/>
          <w:szCs w:val="16"/>
        </w:rPr>
      </w:pPr>
      <w:r w:rsidRPr="009C7331">
        <w:rPr>
          <w:rFonts w:ascii="Calibri" w:hAnsi="Calibri"/>
          <w:sz w:val="22"/>
          <w:szCs w:val="16"/>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14:paraId="03E3B09B" w14:textId="77777777" w:rsidR="009C7331" w:rsidRPr="009C7331" w:rsidRDefault="009C7331" w:rsidP="009C7331">
      <w:pPr>
        <w:widowControl w:val="0"/>
        <w:rPr>
          <w:rFonts w:ascii="Calibri" w:hAnsi="Calibri"/>
          <w:sz w:val="22"/>
          <w:szCs w:val="16"/>
        </w:rPr>
      </w:pPr>
    </w:p>
    <w:p w14:paraId="50FAEF77" w14:textId="77777777" w:rsidR="009C7331" w:rsidRPr="004E69C5" w:rsidRDefault="009C7331" w:rsidP="009C7331">
      <w:pPr>
        <w:widowControl w:val="0"/>
        <w:rPr>
          <w:rFonts w:ascii="Calibri" w:hAnsi="Calibri"/>
          <w:b/>
          <w:sz w:val="22"/>
          <w:szCs w:val="16"/>
        </w:rPr>
      </w:pPr>
      <w:r w:rsidRPr="004E69C5">
        <w:rPr>
          <w:rFonts w:ascii="Calibri" w:hAnsi="Calibri"/>
          <w:b/>
          <w:sz w:val="22"/>
          <w:szCs w:val="16"/>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14:paraId="45C19B2C" w14:textId="1BAC7071" w:rsidR="009C7331" w:rsidRDefault="009C7331" w:rsidP="00A7259B">
      <w:pPr>
        <w:widowControl w:val="0"/>
        <w:rPr>
          <w:rFonts w:ascii="Calibri" w:hAnsi="Calibri" w:cs="Arial"/>
          <w:b/>
          <w:bCs/>
          <w:color w:val="auto"/>
          <w:sz w:val="28"/>
          <w:szCs w:val="22"/>
          <w:u w:val="single"/>
        </w:rPr>
      </w:pPr>
    </w:p>
    <w:p w14:paraId="0CE679B2" w14:textId="6DD60956" w:rsidR="004E69C5" w:rsidRPr="004E69C5" w:rsidRDefault="004E69C5" w:rsidP="004E69C5">
      <w:pPr>
        <w:widowControl w:val="0"/>
        <w:rPr>
          <w:rFonts w:asciiTheme="minorHAnsi" w:hAnsiTheme="minorHAnsi" w:cs="Arial"/>
          <w:b/>
          <w:bCs/>
          <w:color w:val="auto"/>
          <w:sz w:val="32"/>
          <w:szCs w:val="22"/>
          <w:u w:val="single"/>
        </w:rPr>
      </w:pPr>
      <w:r>
        <w:rPr>
          <w:rFonts w:asciiTheme="minorHAnsi" w:hAnsiTheme="minorHAnsi"/>
          <w:sz w:val="22"/>
        </w:rPr>
        <w:t>For more information, contact the HR Department.</w:t>
      </w:r>
    </w:p>
    <w:p w14:paraId="2F6AB2E3" w14:textId="77777777" w:rsidR="009C7331" w:rsidRDefault="009C7331" w:rsidP="00A7259B">
      <w:pPr>
        <w:widowControl w:val="0"/>
        <w:rPr>
          <w:rFonts w:ascii="Calibri" w:hAnsi="Calibri" w:cs="Arial"/>
          <w:b/>
          <w:bCs/>
          <w:color w:val="auto"/>
          <w:sz w:val="24"/>
          <w:szCs w:val="22"/>
          <w:u w:val="single"/>
        </w:rPr>
      </w:pPr>
    </w:p>
    <w:p w14:paraId="2B5D8861" w14:textId="77777777" w:rsidR="009C7331" w:rsidRDefault="009C7331">
      <w:pPr>
        <w:rPr>
          <w:rFonts w:ascii="Calibri" w:hAnsi="Calibri" w:cs="Arial"/>
          <w:b/>
          <w:bCs/>
          <w:color w:val="auto"/>
          <w:sz w:val="22"/>
          <w:szCs w:val="22"/>
        </w:rPr>
      </w:pPr>
      <w:r>
        <w:rPr>
          <w:rFonts w:ascii="Calibri" w:hAnsi="Calibri" w:cs="Arial"/>
          <w:b/>
          <w:bCs/>
          <w:color w:val="auto"/>
          <w:sz w:val="22"/>
          <w:szCs w:val="22"/>
        </w:rPr>
        <w:br w:type="page"/>
      </w:r>
    </w:p>
    <w:p w14:paraId="0923FD49" w14:textId="0798B46C" w:rsidR="001D5D72" w:rsidRDefault="00AB63FC" w:rsidP="001D5D72">
      <w:pPr>
        <w:spacing w:after="160" w:line="259" w:lineRule="auto"/>
        <w:rPr>
          <w:rFonts w:ascii="Arial" w:hAnsi="Arial" w:cs="Arial"/>
          <w:b/>
          <w:color w:val="4F009E"/>
          <w:kern w:val="0"/>
          <w:sz w:val="24"/>
          <w:szCs w:val="24"/>
        </w:rPr>
      </w:pPr>
      <w:r w:rsidRPr="00AB63FC">
        <w:rPr>
          <w:rFonts w:ascii="Arial" w:hAnsi="Arial" w:cs="Arial"/>
          <w:b/>
          <w:noProof/>
          <w:color w:val="4F009E"/>
          <w:kern w:val="0"/>
          <w:sz w:val="24"/>
          <w:szCs w:val="24"/>
        </w:rPr>
        <w:drawing>
          <wp:inline distT="0" distB="0" distL="0" distR="0" wp14:anchorId="084E41EB" wp14:editId="00396BAC">
            <wp:extent cx="6229350" cy="3707130"/>
            <wp:effectExtent l="0" t="0" r="0" b="762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6229350" cy="3707130"/>
                    </a:xfrm>
                    <a:prstGeom prst="rect">
                      <a:avLst/>
                    </a:prstGeom>
                  </pic:spPr>
                </pic:pic>
              </a:graphicData>
            </a:graphic>
          </wp:inline>
        </w:drawing>
      </w:r>
    </w:p>
    <w:p w14:paraId="44B88D85" w14:textId="73AC6056" w:rsidR="001D5D72" w:rsidRDefault="00AB63FC" w:rsidP="001D5D72">
      <w:pPr>
        <w:spacing w:after="160" w:line="259" w:lineRule="auto"/>
        <w:rPr>
          <w:rFonts w:ascii="Arial" w:hAnsi="Arial" w:cs="Arial"/>
          <w:b/>
          <w:color w:val="4F009E"/>
          <w:kern w:val="0"/>
          <w:sz w:val="24"/>
          <w:szCs w:val="24"/>
        </w:rPr>
      </w:pPr>
      <w:r w:rsidRPr="00AB63FC">
        <w:rPr>
          <w:rFonts w:ascii="Arial" w:hAnsi="Arial" w:cs="Arial"/>
          <w:b/>
          <w:noProof/>
          <w:color w:val="4F009E"/>
          <w:kern w:val="0"/>
          <w:sz w:val="24"/>
          <w:szCs w:val="24"/>
        </w:rPr>
        <w:drawing>
          <wp:inline distT="0" distB="0" distL="0" distR="0" wp14:anchorId="36F8B1FD" wp14:editId="6D8917F0">
            <wp:extent cx="6229350" cy="4074795"/>
            <wp:effectExtent l="0" t="0" r="0" b="190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stretch>
                      <a:fillRect/>
                    </a:stretch>
                  </pic:blipFill>
                  <pic:spPr>
                    <a:xfrm>
                      <a:off x="0" y="0"/>
                      <a:ext cx="6229350" cy="4074795"/>
                    </a:xfrm>
                    <a:prstGeom prst="rect">
                      <a:avLst/>
                    </a:prstGeom>
                  </pic:spPr>
                </pic:pic>
              </a:graphicData>
            </a:graphic>
          </wp:inline>
        </w:drawing>
      </w:r>
    </w:p>
    <w:p w14:paraId="1FA57559" w14:textId="383F5C36" w:rsidR="00107A49" w:rsidRDefault="0007303D" w:rsidP="001D5D72">
      <w:pPr>
        <w:spacing w:line="259" w:lineRule="auto"/>
        <w:rPr>
          <w:rFonts w:ascii="Arial" w:hAnsi="Arial" w:cs="Arial"/>
          <w:b/>
          <w:color w:val="4F009E"/>
          <w:kern w:val="0"/>
          <w:sz w:val="24"/>
          <w:szCs w:val="24"/>
        </w:rPr>
      </w:pPr>
      <w:r w:rsidRPr="0007303D">
        <w:rPr>
          <w:rFonts w:ascii="Arial" w:hAnsi="Arial" w:cs="Arial"/>
          <w:b/>
          <w:noProof/>
          <w:color w:val="4F009E"/>
          <w:kern w:val="0"/>
          <w:sz w:val="24"/>
          <w:szCs w:val="24"/>
        </w:rPr>
        <w:drawing>
          <wp:inline distT="0" distB="0" distL="0" distR="0" wp14:anchorId="4E81FE6A" wp14:editId="31CBC26F">
            <wp:extent cx="5876925" cy="4557760"/>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2"/>
                    <a:stretch>
                      <a:fillRect/>
                    </a:stretch>
                  </pic:blipFill>
                  <pic:spPr>
                    <a:xfrm>
                      <a:off x="0" y="0"/>
                      <a:ext cx="5887076" cy="4565633"/>
                    </a:xfrm>
                    <a:prstGeom prst="rect">
                      <a:avLst/>
                    </a:prstGeom>
                  </pic:spPr>
                </pic:pic>
              </a:graphicData>
            </a:graphic>
          </wp:inline>
        </w:drawing>
      </w:r>
      <w:r w:rsidR="00107A49" w:rsidRPr="00107A49">
        <w:rPr>
          <w:rFonts w:ascii="Arial" w:hAnsi="Arial" w:cs="Arial"/>
          <w:b/>
          <w:noProof/>
          <w:color w:val="4F009E"/>
          <w:kern w:val="0"/>
          <w:sz w:val="24"/>
          <w:szCs w:val="24"/>
        </w:rPr>
        <w:drawing>
          <wp:inline distT="0" distB="0" distL="0" distR="0" wp14:anchorId="726EB16F" wp14:editId="66BC287F">
            <wp:extent cx="5876925" cy="3886798"/>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3"/>
                    <a:stretch>
                      <a:fillRect/>
                    </a:stretch>
                  </pic:blipFill>
                  <pic:spPr>
                    <a:xfrm>
                      <a:off x="0" y="0"/>
                      <a:ext cx="5901534" cy="3903074"/>
                    </a:xfrm>
                    <a:prstGeom prst="rect">
                      <a:avLst/>
                    </a:prstGeom>
                  </pic:spPr>
                </pic:pic>
              </a:graphicData>
            </a:graphic>
          </wp:inline>
        </w:drawing>
      </w:r>
    </w:p>
    <w:p w14:paraId="317FE777" w14:textId="28CB24F6" w:rsidR="001D5D72" w:rsidRDefault="00EC26F7" w:rsidP="001D5D72">
      <w:pPr>
        <w:spacing w:line="259" w:lineRule="auto"/>
        <w:rPr>
          <w:rFonts w:ascii="Arial" w:hAnsi="Arial" w:cs="Arial"/>
          <w:b/>
          <w:color w:val="4F009E"/>
          <w:kern w:val="0"/>
          <w:sz w:val="24"/>
          <w:szCs w:val="24"/>
        </w:rPr>
      </w:pPr>
      <w:r w:rsidRPr="00EC26F7">
        <w:rPr>
          <w:rFonts w:ascii="Arial" w:hAnsi="Arial" w:cs="Arial"/>
          <w:b/>
          <w:noProof/>
          <w:color w:val="4F009E"/>
          <w:kern w:val="0"/>
          <w:sz w:val="24"/>
          <w:szCs w:val="24"/>
        </w:rPr>
        <w:drawing>
          <wp:inline distT="0" distB="0" distL="0" distR="0" wp14:anchorId="24CD3568" wp14:editId="4C6A1037">
            <wp:extent cx="6229350" cy="5461635"/>
            <wp:effectExtent l="0" t="0" r="0" b="5715"/>
            <wp:docPr id="10" name="Picture 1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pic:cNvPicPr/>
                  </pic:nvPicPr>
                  <pic:blipFill>
                    <a:blip r:embed="rId14"/>
                    <a:stretch>
                      <a:fillRect/>
                    </a:stretch>
                  </pic:blipFill>
                  <pic:spPr>
                    <a:xfrm>
                      <a:off x="0" y="0"/>
                      <a:ext cx="6229350" cy="5461635"/>
                    </a:xfrm>
                    <a:prstGeom prst="rect">
                      <a:avLst/>
                    </a:prstGeom>
                  </pic:spPr>
                </pic:pic>
              </a:graphicData>
            </a:graphic>
          </wp:inline>
        </w:drawing>
      </w:r>
      <w:r w:rsidR="00023080" w:rsidRPr="00023080">
        <w:rPr>
          <w:rFonts w:ascii="Arial" w:hAnsi="Arial" w:cs="Arial"/>
          <w:b/>
          <w:noProof/>
          <w:color w:val="4F009E"/>
          <w:kern w:val="0"/>
          <w:sz w:val="24"/>
          <w:szCs w:val="24"/>
        </w:rPr>
        <w:drawing>
          <wp:inline distT="0" distB="0" distL="0" distR="0" wp14:anchorId="70561EBE" wp14:editId="633A4AE1">
            <wp:extent cx="6229350" cy="1649095"/>
            <wp:effectExtent l="0" t="0" r="0" b="8255"/>
            <wp:docPr id="11" name="Picture 11"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lendar&#10;&#10;Description automatically generated with low confidence"/>
                    <pic:cNvPicPr/>
                  </pic:nvPicPr>
                  <pic:blipFill>
                    <a:blip r:embed="rId15"/>
                    <a:stretch>
                      <a:fillRect/>
                    </a:stretch>
                  </pic:blipFill>
                  <pic:spPr>
                    <a:xfrm>
                      <a:off x="0" y="0"/>
                      <a:ext cx="6232642" cy="1649966"/>
                    </a:xfrm>
                    <a:prstGeom prst="rect">
                      <a:avLst/>
                    </a:prstGeom>
                  </pic:spPr>
                </pic:pic>
              </a:graphicData>
            </a:graphic>
          </wp:inline>
        </w:drawing>
      </w:r>
      <w:r w:rsidR="001A1D99" w:rsidRPr="001A1D99">
        <w:rPr>
          <w:rFonts w:ascii="Arial" w:hAnsi="Arial" w:cs="Arial"/>
          <w:b/>
          <w:noProof/>
          <w:color w:val="4F009E"/>
          <w:kern w:val="0"/>
          <w:sz w:val="24"/>
          <w:szCs w:val="24"/>
        </w:rPr>
        <w:drawing>
          <wp:inline distT="0" distB="0" distL="0" distR="0" wp14:anchorId="1455B003" wp14:editId="52302519">
            <wp:extent cx="6229350" cy="1102995"/>
            <wp:effectExtent l="0" t="0" r="0" b="1905"/>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6"/>
                    <a:stretch>
                      <a:fillRect/>
                    </a:stretch>
                  </pic:blipFill>
                  <pic:spPr>
                    <a:xfrm>
                      <a:off x="0" y="0"/>
                      <a:ext cx="6229350" cy="1102995"/>
                    </a:xfrm>
                    <a:prstGeom prst="rect">
                      <a:avLst/>
                    </a:prstGeom>
                  </pic:spPr>
                </pic:pic>
              </a:graphicData>
            </a:graphic>
          </wp:inline>
        </w:drawing>
      </w:r>
    </w:p>
    <w:p w14:paraId="12DF956D" w14:textId="4E577A2C" w:rsidR="001D5D72" w:rsidRDefault="001D5D72" w:rsidP="001D5D72">
      <w:pPr>
        <w:spacing w:after="160" w:line="259" w:lineRule="auto"/>
        <w:rPr>
          <w:rFonts w:ascii="Arial" w:hAnsi="Arial" w:cs="Arial"/>
          <w:b/>
          <w:color w:val="4F009E"/>
          <w:kern w:val="0"/>
          <w:sz w:val="24"/>
          <w:szCs w:val="24"/>
        </w:rPr>
      </w:pPr>
      <w:r>
        <w:rPr>
          <w:rFonts w:ascii="Arial" w:hAnsi="Arial" w:cs="Arial"/>
          <w:b/>
          <w:color w:val="4F009E"/>
          <w:kern w:val="0"/>
          <w:sz w:val="24"/>
          <w:szCs w:val="24"/>
        </w:rPr>
        <w:br w:type="page"/>
      </w:r>
    </w:p>
    <w:p w14:paraId="4B5C142A" w14:textId="01D68A04" w:rsidR="009C7331" w:rsidRPr="009C7331" w:rsidRDefault="009C7331" w:rsidP="001148A2">
      <w:pPr>
        <w:rPr>
          <w:rFonts w:ascii="Calibri" w:hAnsi="Calibri" w:cs="Arial"/>
          <w:b/>
          <w:bCs/>
          <w:color w:val="auto"/>
          <w:sz w:val="24"/>
          <w:szCs w:val="22"/>
          <w:u w:val="single"/>
        </w:rPr>
      </w:pPr>
      <w:r w:rsidRPr="009C7331">
        <w:rPr>
          <w:rFonts w:ascii="Calibri" w:hAnsi="Calibri" w:cs="Arial"/>
          <w:b/>
          <w:bCs/>
          <w:color w:val="auto"/>
          <w:sz w:val="28"/>
          <w:szCs w:val="22"/>
          <w:u w:val="single"/>
        </w:rPr>
        <w:t>Women's Health and Cancer Rights Act (WHCRA)</w:t>
      </w:r>
    </w:p>
    <w:p w14:paraId="58F4C860" w14:textId="77777777" w:rsidR="009C7331" w:rsidRPr="00096611" w:rsidRDefault="009C7331" w:rsidP="005E3775">
      <w:pPr>
        <w:widowControl w:val="0"/>
        <w:spacing w:after="120"/>
        <w:rPr>
          <w:rFonts w:ascii="Calibri" w:hAnsi="Calibri" w:cs="Arial"/>
          <w:color w:val="auto"/>
          <w:sz w:val="22"/>
          <w:szCs w:val="22"/>
        </w:rPr>
      </w:pPr>
      <w:r w:rsidRPr="00096611">
        <w:rPr>
          <w:rFonts w:ascii="Calibri" w:hAnsi="Calibri" w:cs="Arial"/>
          <w:color w:val="auto"/>
          <w:sz w:val="22"/>
          <w:szCs w:val="22"/>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patient, for:</w:t>
      </w:r>
    </w:p>
    <w:p w14:paraId="41B7F63F" w14:textId="77777777" w:rsidR="009C7331" w:rsidRPr="00096611" w:rsidRDefault="009C7331" w:rsidP="005E3775">
      <w:pPr>
        <w:widowControl w:val="0"/>
        <w:numPr>
          <w:ilvl w:val="0"/>
          <w:numId w:val="1"/>
        </w:numPr>
        <w:spacing w:after="120"/>
        <w:rPr>
          <w:rFonts w:ascii="Calibri" w:hAnsi="Calibri" w:cs="Arial"/>
          <w:color w:val="auto"/>
          <w:sz w:val="22"/>
          <w:szCs w:val="22"/>
        </w:rPr>
      </w:pPr>
      <w:r w:rsidRPr="00096611">
        <w:rPr>
          <w:rFonts w:ascii="Calibri" w:hAnsi="Calibri" w:cs="Arial"/>
          <w:color w:val="auto"/>
          <w:sz w:val="22"/>
          <w:szCs w:val="22"/>
        </w:rPr>
        <w:t xml:space="preserve">Reconstruction of the breast on which the mastectomy has been </w:t>
      </w:r>
      <w:proofErr w:type="gramStart"/>
      <w:r w:rsidRPr="00096611">
        <w:rPr>
          <w:rFonts w:ascii="Calibri" w:hAnsi="Calibri" w:cs="Arial"/>
          <w:color w:val="auto"/>
          <w:sz w:val="22"/>
          <w:szCs w:val="22"/>
        </w:rPr>
        <w:t>performed;</w:t>
      </w:r>
      <w:proofErr w:type="gramEnd"/>
    </w:p>
    <w:p w14:paraId="496EB3E4" w14:textId="77777777" w:rsidR="009C7331" w:rsidRPr="00096611" w:rsidRDefault="009C7331" w:rsidP="005E3775">
      <w:pPr>
        <w:widowControl w:val="0"/>
        <w:numPr>
          <w:ilvl w:val="0"/>
          <w:numId w:val="1"/>
        </w:numPr>
        <w:spacing w:after="120"/>
        <w:rPr>
          <w:rFonts w:ascii="Calibri" w:hAnsi="Calibri" w:cs="Arial"/>
          <w:color w:val="auto"/>
          <w:sz w:val="22"/>
          <w:szCs w:val="22"/>
        </w:rPr>
      </w:pPr>
      <w:r w:rsidRPr="00096611">
        <w:rPr>
          <w:rFonts w:ascii="Calibri" w:hAnsi="Calibri" w:cs="Arial"/>
          <w:color w:val="auto"/>
          <w:sz w:val="22"/>
          <w:szCs w:val="22"/>
        </w:rPr>
        <w:t>Surgery and reconstruction of the other breast to produce a symmetrical appearance; and</w:t>
      </w:r>
    </w:p>
    <w:p w14:paraId="36F805F9" w14:textId="77777777" w:rsidR="009C7331" w:rsidRPr="00096611" w:rsidRDefault="009C7331" w:rsidP="005E3775">
      <w:pPr>
        <w:widowControl w:val="0"/>
        <w:numPr>
          <w:ilvl w:val="0"/>
          <w:numId w:val="1"/>
        </w:numPr>
        <w:spacing w:after="120"/>
        <w:rPr>
          <w:rFonts w:ascii="Calibri" w:hAnsi="Calibri" w:cs="Arial"/>
          <w:color w:val="auto"/>
          <w:sz w:val="22"/>
          <w:szCs w:val="22"/>
        </w:rPr>
      </w:pPr>
      <w:r w:rsidRPr="00096611">
        <w:rPr>
          <w:rFonts w:ascii="Calibri" w:hAnsi="Calibri" w:cs="Arial"/>
          <w:color w:val="auto"/>
          <w:sz w:val="22"/>
          <w:szCs w:val="22"/>
        </w:rPr>
        <w:t xml:space="preserve">Prostheses and physical complications for all stages of a mastectomy, including Lymphedemas (swelling associated with the removal of lymph nodes). </w:t>
      </w:r>
    </w:p>
    <w:p w14:paraId="6409FA9F" w14:textId="54A15859" w:rsidR="009C7331" w:rsidRDefault="009C7331" w:rsidP="005E3775">
      <w:pPr>
        <w:widowControl w:val="0"/>
        <w:spacing w:after="120"/>
        <w:rPr>
          <w:rFonts w:ascii="Calibri" w:hAnsi="Calibri" w:cs="Arial"/>
          <w:color w:val="auto"/>
          <w:sz w:val="22"/>
          <w:szCs w:val="22"/>
        </w:rPr>
      </w:pPr>
      <w:r w:rsidRPr="00096611">
        <w:rPr>
          <w:rFonts w:ascii="Calibri" w:hAnsi="Calibri" w:cs="Arial"/>
          <w:color w:val="auto"/>
          <w:sz w:val="22"/>
          <w:szCs w:val="22"/>
        </w:rPr>
        <w:t>These benefits may be subject to annual deductibles and coinsurance provisions that are appropriate and consistent with other benefits under your plan or coverage.</w:t>
      </w:r>
      <w:r>
        <w:rPr>
          <w:rFonts w:ascii="Calibri" w:hAnsi="Calibri" w:cs="Arial"/>
          <w:color w:val="auto"/>
          <w:sz w:val="22"/>
          <w:szCs w:val="22"/>
        </w:rPr>
        <w:t xml:space="preserve">  </w:t>
      </w:r>
      <w:r w:rsidRPr="00CF74CB">
        <w:rPr>
          <w:rFonts w:ascii="Calibri" w:hAnsi="Calibri" w:cs="Arial"/>
          <w:color w:val="auto"/>
          <w:sz w:val="22"/>
          <w:szCs w:val="22"/>
        </w:rPr>
        <w:t>If you would like more information on</w:t>
      </w:r>
      <w:r>
        <w:rPr>
          <w:rFonts w:ascii="Calibri" w:hAnsi="Calibri" w:cs="Arial"/>
          <w:color w:val="auto"/>
          <w:sz w:val="22"/>
          <w:szCs w:val="22"/>
        </w:rPr>
        <w:t xml:space="preserve"> WHCRA benefits, </w:t>
      </w:r>
      <w:r w:rsidR="005E3775">
        <w:rPr>
          <w:rFonts w:ascii="Calibri" w:hAnsi="Calibri" w:cs="Arial"/>
          <w:color w:val="auto"/>
          <w:sz w:val="22"/>
          <w:szCs w:val="22"/>
        </w:rPr>
        <w:t>contact the HR Department</w:t>
      </w:r>
      <w:r>
        <w:rPr>
          <w:rFonts w:ascii="Calibri" w:hAnsi="Calibri" w:cs="Arial"/>
          <w:color w:val="auto"/>
          <w:sz w:val="22"/>
          <w:szCs w:val="22"/>
        </w:rPr>
        <w:t>.</w:t>
      </w:r>
    </w:p>
    <w:p w14:paraId="4CC73EF3" w14:textId="77777777" w:rsidR="001D6F4E" w:rsidRDefault="001D6F4E" w:rsidP="005E3775">
      <w:pPr>
        <w:widowControl w:val="0"/>
        <w:spacing w:after="120"/>
        <w:rPr>
          <w:rFonts w:ascii="Calibri" w:hAnsi="Calibri" w:cs="Arial"/>
          <w:color w:val="auto"/>
          <w:sz w:val="22"/>
          <w:szCs w:val="22"/>
        </w:rPr>
      </w:pPr>
    </w:p>
    <w:p w14:paraId="7647DBB9" w14:textId="6D56D64D" w:rsidR="005E3775" w:rsidRPr="005E3775" w:rsidRDefault="005E3775" w:rsidP="005E3775">
      <w:pPr>
        <w:autoSpaceDE w:val="0"/>
        <w:autoSpaceDN w:val="0"/>
        <w:adjustRightInd w:val="0"/>
        <w:spacing w:after="120"/>
        <w:jc w:val="both"/>
        <w:rPr>
          <w:rFonts w:asciiTheme="minorHAnsi" w:hAnsiTheme="minorHAnsi"/>
          <w:b/>
          <w:bCs/>
          <w:sz w:val="28"/>
          <w:szCs w:val="24"/>
          <w:u w:val="single"/>
        </w:rPr>
      </w:pPr>
      <w:r w:rsidRPr="005E3775">
        <w:rPr>
          <w:rFonts w:asciiTheme="minorHAnsi" w:hAnsiTheme="minorHAnsi"/>
          <w:b/>
          <w:bCs/>
          <w:sz w:val="28"/>
          <w:szCs w:val="24"/>
          <w:u w:val="single"/>
        </w:rPr>
        <w:t>Notice of HIPAA Enrollment Rights</w:t>
      </w:r>
    </w:p>
    <w:p w14:paraId="3DC53527" w14:textId="77777777" w:rsidR="005E3775" w:rsidRPr="005E3775" w:rsidRDefault="005E3775" w:rsidP="005E3775">
      <w:pPr>
        <w:autoSpaceDE w:val="0"/>
        <w:autoSpaceDN w:val="0"/>
        <w:adjustRightInd w:val="0"/>
        <w:spacing w:after="120"/>
        <w:jc w:val="both"/>
        <w:rPr>
          <w:rFonts w:asciiTheme="minorHAnsi" w:hAnsiTheme="minorHAnsi"/>
          <w:iCs/>
          <w:sz w:val="22"/>
          <w:szCs w:val="22"/>
        </w:rPr>
      </w:pPr>
      <w:r w:rsidRPr="005E3775">
        <w:rPr>
          <w:rFonts w:asciiTheme="minorHAnsi" w:hAnsiTheme="minorHAnsi"/>
          <w:iCs/>
          <w:sz w:val="22"/>
          <w:szCs w:val="22"/>
        </w:rPr>
        <w:t>If you are declining enrollment for yourself or your dependents (including your spouse) because of other health insurance coverage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 after your or your dependents’ other coverage ends (or after the employer stops contributing toward the other coverage).</w:t>
      </w:r>
    </w:p>
    <w:p w14:paraId="5ADC5E28" w14:textId="77777777" w:rsidR="005E3775" w:rsidRPr="005E3775" w:rsidRDefault="005E3775" w:rsidP="005E3775">
      <w:pPr>
        <w:autoSpaceDE w:val="0"/>
        <w:autoSpaceDN w:val="0"/>
        <w:adjustRightInd w:val="0"/>
        <w:spacing w:after="120"/>
        <w:jc w:val="both"/>
        <w:rPr>
          <w:rFonts w:asciiTheme="minorHAnsi" w:hAnsiTheme="minorHAnsi"/>
          <w:iCs/>
          <w:sz w:val="22"/>
          <w:szCs w:val="22"/>
        </w:rPr>
      </w:pPr>
      <w:r w:rsidRPr="005E3775">
        <w:rPr>
          <w:rFonts w:asciiTheme="minorHAnsi" w:hAnsiTheme="minorHAnsi"/>
          <w:iCs/>
          <w:sz w:val="22"/>
          <w:szCs w:val="22"/>
        </w:rPr>
        <w:t xml:space="preserve">In addition, if you have a new dependent </w:t>
      </w:r>
      <w:proofErr w:type="gramStart"/>
      <w:r w:rsidRPr="005E3775">
        <w:rPr>
          <w:rFonts w:asciiTheme="minorHAnsi" w:hAnsiTheme="minorHAnsi"/>
          <w:iCs/>
          <w:sz w:val="22"/>
          <w:szCs w:val="22"/>
        </w:rPr>
        <w:t>as a result of</w:t>
      </w:r>
      <w:proofErr w:type="gramEnd"/>
      <w:r w:rsidRPr="005E3775">
        <w:rPr>
          <w:rFonts w:asciiTheme="minorHAnsi" w:hAnsiTheme="minorHAnsi"/>
          <w:iCs/>
          <w:sz w:val="22"/>
          <w:szCs w:val="22"/>
        </w:rPr>
        <w:t xml:space="preserve"> marriage, birth, adoption, or placement for adoption, you may be able to enroll yourself and your dependents.  However, you must request enrollment within 30 days after the marriage, birth, adoption, or placement for adoption.</w:t>
      </w:r>
    </w:p>
    <w:p w14:paraId="0F758C71" w14:textId="2EA0BB16" w:rsidR="00E41C25" w:rsidRDefault="005E3775" w:rsidP="001D6F4E">
      <w:pPr>
        <w:autoSpaceDE w:val="0"/>
        <w:autoSpaceDN w:val="0"/>
        <w:adjustRightInd w:val="0"/>
        <w:spacing w:after="120"/>
        <w:jc w:val="both"/>
        <w:rPr>
          <w:rFonts w:asciiTheme="minorHAnsi" w:hAnsiTheme="minorHAnsi"/>
          <w:iCs/>
          <w:sz w:val="22"/>
          <w:szCs w:val="22"/>
        </w:rPr>
      </w:pPr>
      <w:r w:rsidRPr="005E3775">
        <w:rPr>
          <w:rFonts w:asciiTheme="minorHAnsi" w:hAnsiTheme="minorHAnsi"/>
          <w:iCs/>
          <w:sz w:val="22"/>
          <w:szCs w:val="22"/>
        </w:rPr>
        <w:t>To request special enrollment or obtain more information, contact the HR Department.</w:t>
      </w:r>
    </w:p>
    <w:p w14:paraId="673609D1" w14:textId="77777777" w:rsidR="001D6F4E" w:rsidRDefault="001D6F4E" w:rsidP="001D6F4E">
      <w:pPr>
        <w:autoSpaceDE w:val="0"/>
        <w:autoSpaceDN w:val="0"/>
        <w:adjustRightInd w:val="0"/>
        <w:spacing w:after="120"/>
        <w:jc w:val="both"/>
        <w:rPr>
          <w:rFonts w:asciiTheme="minorHAnsi" w:hAnsiTheme="minorHAnsi"/>
          <w:sz w:val="22"/>
          <w:szCs w:val="22"/>
        </w:rPr>
      </w:pPr>
    </w:p>
    <w:p w14:paraId="75A76116" w14:textId="71DEA17D" w:rsidR="00E41C25" w:rsidRPr="005E3775" w:rsidRDefault="00E41C25" w:rsidP="00E41C25">
      <w:pPr>
        <w:autoSpaceDE w:val="0"/>
        <w:autoSpaceDN w:val="0"/>
        <w:adjustRightInd w:val="0"/>
        <w:spacing w:after="120"/>
        <w:jc w:val="both"/>
        <w:rPr>
          <w:rFonts w:asciiTheme="minorHAnsi" w:hAnsiTheme="minorHAnsi"/>
          <w:b/>
          <w:bCs/>
          <w:sz w:val="28"/>
          <w:szCs w:val="24"/>
          <w:u w:val="single"/>
        </w:rPr>
      </w:pPr>
      <w:r>
        <w:rPr>
          <w:rFonts w:asciiTheme="minorHAnsi" w:hAnsiTheme="minorHAnsi"/>
          <w:b/>
          <w:bCs/>
          <w:sz w:val="28"/>
          <w:szCs w:val="24"/>
          <w:u w:val="single"/>
        </w:rPr>
        <w:t>Patient Protections Notice</w:t>
      </w:r>
    </w:p>
    <w:p w14:paraId="4A34C9FC" w14:textId="0C750B4E" w:rsidR="00E41C25" w:rsidRPr="00E41C25" w:rsidRDefault="00E41C25" w:rsidP="00E41C25">
      <w:pPr>
        <w:spacing w:after="120"/>
        <w:jc w:val="both"/>
        <w:rPr>
          <w:rFonts w:asciiTheme="minorHAnsi" w:hAnsiTheme="minorHAnsi"/>
          <w:sz w:val="22"/>
          <w:szCs w:val="22"/>
        </w:rPr>
      </w:pPr>
      <w:r w:rsidRPr="00E41C25">
        <w:rPr>
          <w:rFonts w:asciiTheme="minorHAnsi" w:hAnsiTheme="minorHAnsi"/>
          <w:sz w:val="22"/>
          <w:szCs w:val="22"/>
        </w:rPr>
        <w:t>If a qualifying benefit option under a group health plan maintained by the employer generally requires or allows the designation of a primary care provider, the covered individual has the right to designate any primary care provider who participates in the Plan’s network and who is available to accept the covered individual.  Until the covered individual makes this designation, the Plan may designate a primary care provider for him or her.   For children, the covered employee or spouse may designate a pediatrician as the primary care provider.</w:t>
      </w:r>
      <w:r>
        <w:rPr>
          <w:rFonts w:asciiTheme="minorHAnsi" w:hAnsiTheme="minorHAnsi"/>
          <w:sz w:val="22"/>
          <w:szCs w:val="22"/>
        </w:rPr>
        <w:t xml:space="preserve">  For information on how to select a primary care provider, and for a list of the participating primary care providers, contact the HR Department.</w:t>
      </w:r>
    </w:p>
    <w:p w14:paraId="1B5E7E9F" w14:textId="2B3BC0C4" w:rsidR="00786621" w:rsidRDefault="00E41C25" w:rsidP="00E41C25">
      <w:pPr>
        <w:autoSpaceDE w:val="0"/>
        <w:autoSpaceDN w:val="0"/>
        <w:spacing w:after="120"/>
        <w:jc w:val="both"/>
        <w:rPr>
          <w:rFonts w:asciiTheme="minorHAnsi" w:hAnsiTheme="minorHAnsi"/>
          <w:sz w:val="22"/>
          <w:szCs w:val="22"/>
        </w:rPr>
      </w:pPr>
      <w:r w:rsidRPr="00E41C25">
        <w:rPr>
          <w:rFonts w:asciiTheme="minorHAnsi" w:hAnsiTheme="minorHAnsi"/>
          <w:sz w:val="22"/>
          <w:szCs w:val="22"/>
        </w:rPr>
        <w:t xml:space="preserve">For any qualifying benefit option, covered individuals do not need prior authorization from the group health plan or from any other person (including a primary care provider) in order to obtain access to obstetrical or gynecological care from a health care professional in the Plan’s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Pr>
          <w:rFonts w:asciiTheme="minorHAnsi" w:hAnsiTheme="minorHAnsi"/>
          <w:sz w:val="22"/>
          <w:szCs w:val="22"/>
        </w:rPr>
        <w:t>HR Department</w:t>
      </w:r>
      <w:r w:rsidRPr="00E41C25">
        <w:rPr>
          <w:rFonts w:asciiTheme="minorHAnsi" w:hAnsiTheme="minorHAnsi"/>
          <w:sz w:val="22"/>
          <w:szCs w:val="22"/>
        </w:rPr>
        <w:t>.</w:t>
      </w:r>
    </w:p>
    <w:p w14:paraId="7BB4E1C0" w14:textId="18FC76F8" w:rsidR="00786621" w:rsidRPr="00D407F9" w:rsidRDefault="00786621" w:rsidP="00786621">
      <w:pPr>
        <w:autoSpaceDE w:val="0"/>
        <w:autoSpaceDN w:val="0"/>
        <w:spacing w:after="120"/>
        <w:jc w:val="both"/>
        <w:rPr>
          <w:rFonts w:asciiTheme="minorHAnsi" w:hAnsiTheme="minorHAnsi" w:cstheme="minorHAnsi"/>
          <w:b/>
          <w:bCs/>
          <w:sz w:val="28"/>
          <w:szCs w:val="28"/>
          <w:u w:val="single"/>
        </w:rPr>
      </w:pPr>
      <w:r>
        <w:rPr>
          <w:rFonts w:asciiTheme="minorHAnsi" w:hAnsiTheme="minorHAnsi"/>
          <w:sz w:val="22"/>
          <w:szCs w:val="22"/>
        </w:rPr>
        <w:br w:type="page"/>
      </w:r>
      <w:r w:rsidRPr="00D407F9">
        <w:rPr>
          <w:rFonts w:asciiTheme="minorHAnsi" w:hAnsiTheme="minorHAnsi" w:cstheme="minorHAnsi"/>
          <w:b/>
          <w:bCs/>
          <w:sz w:val="28"/>
          <w:szCs w:val="28"/>
          <w:u w:val="single"/>
        </w:rPr>
        <w:t>ADA Notice Regarding Wellness Program</w:t>
      </w:r>
    </w:p>
    <w:p w14:paraId="65457D55" w14:textId="4B1D31BE"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The company’s wellness program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may be asked to complete a voluntary health risk assessment or "HRA" that asks a series of questions about your health-related activities and behaviors and whether you have or had certain medical conditions (e.g., cancer, diabetes, or heart disease). You may also be asked to complete a biometric screening, which may include a blood test.  If so, you are not required to complete the HRA or to participate in the blood test or other medical examinations.</w:t>
      </w:r>
    </w:p>
    <w:p w14:paraId="35E60603"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However, employees who choose to participate in the wellness program may receive an incentive. Although you are not required to complete the HRA or participate in the biometric screening (if any), the program may provide that only employees who do so will receive the incentive.</w:t>
      </w:r>
    </w:p>
    <w:p w14:paraId="54817CA7"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Additional incentives of up to 30% of the cost of coverage may be available for employees who participate in certain health-related activities or achieve certain health outcomes.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the HR Department.</w:t>
      </w:r>
    </w:p>
    <w:p w14:paraId="0697EB2A"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The information from your HRA and the results from your biometric screening (if any) will be used to provide you with information to help you understand your current health and potential risks, and may also be used to offer you services through the wellness program. You also are encouraged to share your results or concerns with your own doctor.</w:t>
      </w:r>
    </w:p>
    <w:p w14:paraId="0D254B3B" w14:textId="77777777" w:rsidR="00786621" w:rsidRPr="00D407F9" w:rsidRDefault="00786621" w:rsidP="00786621">
      <w:pPr>
        <w:pStyle w:val="Heading2"/>
        <w:shd w:val="clear" w:color="auto" w:fill="FFFFFF"/>
        <w:spacing w:before="192" w:after="120"/>
        <w:jc w:val="both"/>
        <w:rPr>
          <w:rFonts w:asciiTheme="minorHAnsi" w:hAnsiTheme="minorHAnsi" w:cstheme="minorHAnsi"/>
          <w:bCs w:val="0"/>
          <w:color w:val="auto"/>
          <w:sz w:val="21"/>
          <w:szCs w:val="21"/>
        </w:rPr>
      </w:pPr>
      <w:r w:rsidRPr="00D407F9">
        <w:rPr>
          <w:rFonts w:asciiTheme="minorHAnsi" w:hAnsiTheme="minorHAnsi" w:cstheme="minorHAnsi"/>
          <w:bCs w:val="0"/>
          <w:color w:val="auto"/>
          <w:sz w:val="21"/>
          <w:szCs w:val="21"/>
        </w:rPr>
        <w:t>Protections from Disclosure of Medical Information</w:t>
      </w:r>
    </w:p>
    <w:p w14:paraId="6AC3C6E9"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We are required by law to maintain the privacy and security of your personally identifiable health information. Although the wellness program and the employer may use aggregate information it collects to design a program based on identified health risks in the workplace, the wellness program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73B2C67D"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Only individuals necessary to administer the program will receive your personally identifiable health information </w:t>
      </w:r>
      <w:proofErr w:type="gramStart"/>
      <w:r w:rsidRPr="00D407F9">
        <w:rPr>
          <w:rFonts w:asciiTheme="minorHAnsi" w:hAnsiTheme="minorHAnsi" w:cstheme="minorHAnsi"/>
          <w:sz w:val="21"/>
          <w:szCs w:val="21"/>
        </w:rPr>
        <w:t>in order to</w:t>
      </w:r>
      <w:proofErr w:type="gramEnd"/>
      <w:r w:rsidRPr="00D407F9">
        <w:rPr>
          <w:rFonts w:asciiTheme="minorHAnsi" w:hAnsiTheme="minorHAnsi" w:cstheme="minorHAnsi"/>
          <w:sz w:val="21"/>
          <w:szCs w:val="21"/>
        </w:rPr>
        <w:t xml:space="preserve"> provide you with services under the wellness program.</w:t>
      </w:r>
    </w:p>
    <w:p w14:paraId="2C758E31"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Appropriate precautions will be taken to avoid any data breach, and in the event a data breach occurs involving information you provide in connection with the wellness program, we will notify you immediately.</w:t>
      </w:r>
    </w:p>
    <w:p w14:paraId="34DCAD1E" w14:textId="77777777" w:rsidR="00786621" w:rsidRPr="00D407F9" w:rsidRDefault="00786621" w:rsidP="00786621">
      <w:pPr>
        <w:pStyle w:val="NormalWeb"/>
        <w:shd w:val="clear" w:color="auto" w:fill="FFFFFF"/>
        <w:spacing w:before="96" w:after="120"/>
        <w:jc w:val="both"/>
        <w:rPr>
          <w:rFonts w:asciiTheme="minorHAnsi" w:hAnsiTheme="minorHAnsi" w:cstheme="minorHAnsi"/>
          <w:sz w:val="21"/>
          <w:szCs w:val="21"/>
        </w:rPr>
      </w:pPr>
      <w:r w:rsidRPr="00D407F9">
        <w:rPr>
          <w:rFonts w:asciiTheme="minorHAnsi" w:hAnsiTheme="minorHAnsi" w:cstheme="minorHAnsi"/>
          <w:sz w:val="21"/>
          <w:szCs w:val="21"/>
        </w:rPr>
        <w:t>You may not be discriminated against in employment because of the medical information you provide as part of participating in the wellness program, nor may you be subjected to retaliation if you choose not to participate.</w:t>
      </w:r>
    </w:p>
    <w:p w14:paraId="7E9813C7" w14:textId="286CBE75" w:rsidR="00E41C25" w:rsidRPr="00D407F9" w:rsidRDefault="00786621" w:rsidP="00786621">
      <w:pPr>
        <w:pStyle w:val="NormalWeb"/>
        <w:shd w:val="clear" w:color="auto" w:fill="FFFFFF"/>
        <w:spacing w:before="96" w:after="120"/>
        <w:jc w:val="both"/>
        <w:rPr>
          <w:rFonts w:asciiTheme="minorHAnsi" w:hAnsiTheme="minorHAnsi" w:cstheme="minorHAnsi"/>
          <w:sz w:val="22"/>
          <w:szCs w:val="22"/>
        </w:rPr>
      </w:pPr>
      <w:r w:rsidRPr="00D407F9">
        <w:rPr>
          <w:rFonts w:asciiTheme="minorHAnsi" w:hAnsiTheme="minorHAnsi" w:cstheme="minorHAnsi"/>
          <w:sz w:val="21"/>
          <w:szCs w:val="21"/>
        </w:rPr>
        <w:t>If you have questions or concerns regarding this notice, or about protections against discrimination and retaliation, please contact the HR Department.</w:t>
      </w:r>
    </w:p>
    <w:sectPr w:rsidR="00E41C25" w:rsidRPr="00D407F9" w:rsidSect="00564BCD">
      <w:headerReference w:type="default" r:id="rId17"/>
      <w:footerReference w:type="default" r:id="rId18"/>
      <w:pgSz w:w="12240" w:h="15840"/>
      <w:pgMar w:top="1260" w:right="990" w:bottom="1260" w:left="1440" w:header="27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79EF" w14:textId="77777777" w:rsidR="00453904" w:rsidRDefault="00453904" w:rsidP="00777CB7">
      <w:r>
        <w:separator/>
      </w:r>
    </w:p>
  </w:endnote>
  <w:endnote w:type="continuationSeparator" w:id="0">
    <w:p w14:paraId="11FD2CA0" w14:textId="77777777" w:rsidR="00453904" w:rsidRDefault="00453904" w:rsidP="0077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C33F" w14:textId="77777777" w:rsidR="00CF74CB" w:rsidRPr="00096611" w:rsidRDefault="00CF74CB" w:rsidP="00CF74CB">
    <w:pPr>
      <w:pStyle w:val="Footer"/>
      <w:rPr>
        <w:rFonts w:ascii="Tahoma" w:hAnsi="Tahoma" w:cs="Tahoma"/>
        <w:color w:val="404040"/>
        <w:sz w:val="12"/>
      </w:rPr>
    </w:pPr>
    <w:r w:rsidRPr="00096611">
      <w:rPr>
        <w:rFonts w:ascii="Tahoma" w:hAnsi="Tahoma" w:cs="Tahoma"/>
        <w:color w:val="404040"/>
        <w:sz w:val="16"/>
      </w:rPr>
      <w:tab/>
    </w:r>
  </w:p>
  <w:p w14:paraId="6F7721A6" w14:textId="77777777" w:rsidR="00CF74CB" w:rsidRPr="00096611" w:rsidRDefault="00CF74CB" w:rsidP="0011703B">
    <w:pPr>
      <w:pStyle w:val="Footer"/>
      <w:rPr>
        <w:rFonts w:ascii="Tahoma" w:hAnsi="Tahoma" w:cs="Tahoma"/>
        <w:color w:val="40404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A7DF" w14:textId="77777777" w:rsidR="00453904" w:rsidRDefault="00453904" w:rsidP="00777CB7">
      <w:r>
        <w:separator/>
      </w:r>
    </w:p>
  </w:footnote>
  <w:footnote w:type="continuationSeparator" w:id="0">
    <w:p w14:paraId="22C44DB0" w14:textId="77777777" w:rsidR="00453904" w:rsidRDefault="00453904" w:rsidP="0077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6008" w14:textId="77777777" w:rsidR="00CF74CB" w:rsidRDefault="00CF74CB" w:rsidP="00096611">
    <w:pPr>
      <w:pStyle w:val="Header"/>
      <w:pBdr>
        <w:bottom w:val="single" w:sz="4" w:space="1" w:color="D9D9D9"/>
      </w:pBd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3in;height:3in" o:bullet="t"/>
    </w:pict>
  </w:numPicBullet>
  <w:abstractNum w:abstractNumId="0" w15:restartNumberingAfterBreak="0">
    <w:nsid w:val="0569354B"/>
    <w:multiLevelType w:val="hybridMultilevel"/>
    <w:tmpl w:val="87CE5DF8"/>
    <w:lvl w:ilvl="0" w:tplc="714278FC">
      <w:start w:val="1"/>
      <w:numFmt w:val="bullet"/>
      <w:lvlText w:val=""/>
      <w:lvlJc w:val="left"/>
      <w:pPr>
        <w:ind w:left="2160" w:hanging="360"/>
      </w:pPr>
      <w:rPr>
        <w:rFonts w:ascii="Wingdings" w:hAnsi="Wingdings" w:hint="default"/>
        <w:sz w:val="16"/>
      </w:rPr>
    </w:lvl>
    <w:lvl w:ilvl="1" w:tplc="714278FC">
      <w:start w:val="1"/>
      <w:numFmt w:val="bullet"/>
      <w:lvlText w:val=""/>
      <w:lvlJc w:val="left"/>
      <w:pPr>
        <w:ind w:left="2880" w:hanging="360"/>
      </w:pPr>
      <w:rPr>
        <w:rFonts w:ascii="Wingdings" w:hAnsi="Wingdings"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821BF1"/>
    <w:multiLevelType w:val="hybridMultilevel"/>
    <w:tmpl w:val="461C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D4010"/>
    <w:multiLevelType w:val="hybridMultilevel"/>
    <w:tmpl w:val="E926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23571"/>
    <w:multiLevelType w:val="hybridMultilevel"/>
    <w:tmpl w:val="D000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B2ED2"/>
    <w:multiLevelType w:val="hybridMultilevel"/>
    <w:tmpl w:val="EE94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4BF3"/>
    <w:multiLevelType w:val="hybridMultilevel"/>
    <w:tmpl w:val="FD3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AE6"/>
    <w:multiLevelType w:val="hybridMultilevel"/>
    <w:tmpl w:val="8186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22FAA"/>
    <w:multiLevelType w:val="hybridMultilevel"/>
    <w:tmpl w:val="E65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42369"/>
    <w:multiLevelType w:val="hybridMultilevel"/>
    <w:tmpl w:val="7DAE21B8"/>
    <w:lvl w:ilvl="0" w:tplc="4E9641D8">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D1D93"/>
    <w:multiLevelType w:val="hybridMultilevel"/>
    <w:tmpl w:val="B2840226"/>
    <w:lvl w:ilvl="0" w:tplc="714278FC">
      <w:start w:val="1"/>
      <w:numFmt w:val="bullet"/>
      <w:lvlText w:val=""/>
      <w:lvlJc w:val="left"/>
      <w:pPr>
        <w:ind w:left="2160" w:hanging="360"/>
      </w:pPr>
      <w:rPr>
        <w:rFonts w:ascii="Wingdings" w:hAnsi="Wingdings" w:hint="default"/>
        <w:sz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F380EC"/>
    <w:multiLevelType w:val="hybridMultilevel"/>
    <w:tmpl w:val="C129D8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9A28BD"/>
    <w:multiLevelType w:val="hybridMultilevel"/>
    <w:tmpl w:val="078C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22E5A"/>
    <w:multiLevelType w:val="hybridMultilevel"/>
    <w:tmpl w:val="ED8E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314D1"/>
    <w:multiLevelType w:val="hybridMultilevel"/>
    <w:tmpl w:val="6BA0458E"/>
    <w:lvl w:ilvl="0" w:tplc="F08A9B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F23C5"/>
    <w:multiLevelType w:val="hybridMultilevel"/>
    <w:tmpl w:val="ECDE8FDC"/>
    <w:lvl w:ilvl="0" w:tplc="F08A9BE6">
      <w:numFmt w:val="bullet"/>
      <w:lvlText w:val="·"/>
      <w:lvlJc w:val="left"/>
      <w:pPr>
        <w:ind w:left="765" w:hanging="360"/>
      </w:pPr>
      <w:rPr>
        <w:rFonts w:ascii="Calibri" w:eastAsia="Times New Roman"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62826A9"/>
    <w:multiLevelType w:val="hybridMultilevel"/>
    <w:tmpl w:val="4FDAE6FC"/>
    <w:lvl w:ilvl="0" w:tplc="47C82E8E">
      <w:numFmt w:val="bullet"/>
      <w:lvlText w:val="·"/>
      <w:lvlJc w:val="left"/>
      <w:pPr>
        <w:ind w:left="720" w:hanging="69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49533F5A"/>
    <w:multiLevelType w:val="hybridMultilevel"/>
    <w:tmpl w:val="70D636E2"/>
    <w:lvl w:ilvl="0" w:tplc="01A0B918">
      <w:numFmt w:val="bullet"/>
      <w:lvlText w:val="·"/>
      <w:lvlJc w:val="left"/>
      <w:pPr>
        <w:ind w:left="720" w:hanging="675"/>
      </w:pPr>
      <w:rPr>
        <w:rFonts w:ascii="Calibri" w:eastAsia="Times New Roman" w:hAnsi="Calibri"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4E4726A"/>
    <w:multiLevelType w:val="hybridMultilevel"/>
    <w:tmpl w:val="583A3F12"/>
    <w:lvl w:ilvl="0" w:tplc="F08A9BE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3C4DA1"/>
    <w:multiLevelType w:val="hybridMultilevel"/>
    <w:tmpl w:val="C056205A"/>
    <w:lvl w:ilvl="0" w:tplc="0409000B">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7D5108"/>
    <w:multiLevelType w:val="hybridMultilevel"/>
    <w:tmpl w:val="53F6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6392B"/>
    <w:multiLevelType w:val="hybridMultilevel"/>
    <w:tmpl w:val="A9A0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E3FBE"/>
    <w:multiLevelType w:val="multilevel"/>
    <w:tmpl w:val="2B4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156755"/>
    <w:multiLevelType w:val="hybridMultilevel"/>
    <w:tmpl w:val="A5BE1B76"/>
    <w:lvl w:ilvl="0" w:tplc="04090001">
      <w:start w:val="1"/>
      <w:numFmt w:val="bullet"/>
      <w:lvlText w:val=""/>
      <w:lvlJc w:val="left"/>
      <w:pPr>
        <w:ind w:left="720" w:hanging="360"/>
      </w:pPr>
      <w:rPr>
        <w:rFonts w:ascii="Symbol" w:hAnsi="Symbol" w:hint="default"/>
      </w:rPr>
    </w:lvl>
    <w:lvl w:ilvl="1" w:tplc="BDE22E7E">
      <w:numFmt w:val="bullet"/>
      <w:lvlText w:val="·"/>
      <w:lvlJc w:val="left"/>
      <w:pPr>
        <w:ind w:left="1440" w:hanging="360"/>
      </w:pPr>
      <w:rPr>
        <w:rFonts w:ascii="Calibri" w:eastAsia="Times New Roman"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06B1"/>
    <w:multiLevelType w:val="hybridMultilevel"/>
    <w:tmpl w:val="C3A8BAAC"/>
    <w:lvl w:ilvl="0" w:tplc="04090001">
      <w:start w:val="1"/>
      <w:numFmt w:val="bullet"/>
      <w:lvlText w:val=""/>
      <w:lvlJc w:val="left"/>
      <w:pPr>
        <w:ind w:left="720" w:hanging="360"/>
      </w:pPr>
      <w:rPr>
        <w:rFonts w:ascii="Symbol" w:hAnsi="Symbol" w:hint="default"/>
      </w:rPr>
    </w:lvl>
    <w:lvl w:ilvl="1" w:tplc="DEDC5E2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83001"/>
    <w:multiLevelType w:val="hybridMultilevel"/>
    <w:tmpl w:val="7B9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C4BF2"/>
    <w:multiLevelType w:val="hybridMultilevel"/>
    <w:tmpl w:val="A9EC66A6"/>
    <w:lvl w:ilvl="0" w:tplc="714278F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224FC"/>
    <w:multiLevelType w:val="hybridMultilevel"/>
    <w:tmpl w:val="AB4404F4"/>
    <w:lvl w:ilvl="0" w:tplc="01A0B918">
      <w:numFmt w:val="bullet"/>
      <w:lvlText w:val="·"/>
      <w:lvlJc w:val="left"/>
      <w:pPr>
        <w:ind w:left="765" w:hanging="675"/>
      </w:pPr>
      <w:rPr>
        <w:rFonts w:ascii="Calibri" w:eastAsia="Times New Roman" w:hAnsi="Calibri" w:cs="Times New Roman"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18"/>
  </w:num>
  <w:num w:numId="4">
    <w:abstractNumId w:val="1"/>
  </w:num>
  <w:num w:numId="5">
    <w:abstractNumId w:val="24"/>
  </w:num>
  <w:num w:numId="6">
    <w:abstractNumId w:val="20"/>
  </w:num>
  <w:num w:numId="7">
    <w:abstractNumId w:val="2"/>
  </w:num>
  <w:num w:numId="8">
    <w:abstractNumId w:val="19"/>
  </w:num>
  <w:num w:numId="9">
    <w:abstractNumId w:val="21"/>
  </w:num>
  <w:num w:numId="10">
    <w:abstractNumId w:val="6"/>
  </w:num>
  <w:num w:numId="11">
    <w:abstractNumId w:val="12"/>
  </w:num>
  <w:num w:numId="12">
    <w:abstractNumId w:val="13"/>
  </w:num>
  <w:num w:numId="13">
    <w:abstractNumId w:val="17"/>
  </w:num>
  <w:num w:numId="14">
    <w:abstractNumId w:val="14"/>
  </w:num>
  <w:num w:numId="15">
    <w:abstractNumId w:val="16"/>
  </w:num>
  <w:num w:numId="16">
    <w:abstractNumId w:val="26"/>
  </w:num>
  <w:num w:numId="17">
    <w:abstractNumId w:val="22"/>
  </w:num>
  <w:num w:numId="18">
    <w:abstractNumId w:val="23"/>
  </w:num>
  <w:num w:numId="19">
    <w:abstractNumId w:val="8"/>
  </w:num>
  <w:num w:numId="20">
    <w:abstractNumId w:val="9"/>
  </w:num>
  <w:num w:numId="21">
    <w:abstractNumId w:val="0"/>
  </w:num>
  <w:num w:numId="22">
    <w:abstractNumId w:val="4"/>
  </w:num>
  <w:num w:numId="23">
    <w:abstractNumId w:val="3"/>
  </w:num>
  <w:num w:numId="24">
    <w:abstractNumId w:val="11"/>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65"/>
    <w:rsid w:val="00002A55"/>
    <w:rsid w:val="00023080"/>
    <w:rsid w:val="000425BA"/>
    <w:rsid w:val="00042F50"/>
    <w:rsid w:val="000628B3"/>
    <w:rsid w:val="00071E37"/>
    <w:rsid w:val="0007303D"/>
    <w:rsid w:val="00081E02"/>
    <w:rsid w:val="00082D09"/>
    <w:rsid w:val="00096611"/>
    <w:rsid w:val="000F396C"/>
    <w:rsid w:val="000F7882"/>
    <w:rsid w:val="00100FAA"/>
    <w:rsid w:val="00103894"/>
    <w:rsid w:val="00107A49"/>
    <w:rsid w:val="00111402"/>
    <w:rsid w:val="001148A2"/>
    <w:rsid w:val="0011703B"/>
    <w:rsid w:val="00140B97"/>
    <w:rsid w:val="0016684F"/>
    <w:rsid w:val="00177EB6"/>
    <w:rsid w:val="001A1D99"/>
    <w:rsid w:val="001A32F4"/>
    <w:rsid w:val="001B762A"/>
    <w:rsid w:val="001C73D5"/>
    <w:rsid w:val="001D5D72"/>
    <w:rsid w:val="001D6F4E"/>
    <w:rsid w:val="00203C53"/>
    <w:rsid w:val="0020723E"/>
    <w:rsid w:val="00222665"/>
    <w:rsid w:val="0023428C"/>
    <w:rsid w:val="00244E9E"/>
    <w:rsid w:val="00250A9D"/>
    <w:rsid w:val="00252265"/>
    <w:rsid w:val="002A0CEB"/>
    <w:rsid w:val="002C40A5"/>
    <w:rsid w:val="002C50C4"/>
    <w:rsid w:val="002E35A4"/>
    <w:rsid w:val="002E7C02"/>
    <w:rsid w:val="002F7451"/>
    <w:rsid w:val="00305E77"/>
    <w:rsid w:val="00333B08"/>
    <w:rsid w:val="00337468"/>
    <w:rsid w:val="00350FE9"/>
    <w:rsid w:val="00365528"/>
    <w:rsid w:val="00371F25"/>
    <w:rsid w:val="003737E4"/>
    <w:rsid w:val="0037784F"/>
    <w:rsid w:val="00382BF6"/>
    <w:rsid w:val="0038762F"/>
    <w:rsid w:val="00396539"/>
    <w:rsid w:val="003A13FD"/>
    <w:rsid w:val="003A6499"/>
    <w:rsid w:val="003B090D"/>
    <w:rsid w:val="003D623F"/>
    <w:rsid w:val="003D62CB"/>
    <w:rsid w:val="004000B2"/>
    <w:rsid w:val="004310B0"/>
    <w:rsid w:val="00447D6A"/>
    <w:rsid w:val="00450193"/>
    <w:rsid w:val="00453904"/>
    <w:rsid w:val="004748D9"/>
    <w:rsid w:val="004929BC"/>
    <w:rsid w:val="004D4F57"/>
    <w:rsid w:val="004E69C5"/>
    <w:rsid w:val="004F43CB"/>
    <w:rsid w:val="004F5383"/>
    <w:rsid w:val="00503677"/>
    <w:rsid w:val="00532005"/>
    <w:rsid w:val="005334A6"/>
    <w:rsid w:val="005419A6"/>
    <w:rsid w:val="00553741"/>
    <w:rsid w:val="00564BCD"/>
    <w:rsid w:val="00567EC8"/>
    <w:rsid w:val="00580F8F"/>
    <w:rsid w:val="00597E73"/>
    <w:rsid w:val="005A6AC8"/>
    <w:rsid w:val="005C0567"/>
    <w:rsid w:val="005C67D6"/>
    <w:rsid w:val="005E27F6"/>
    <w:rsid w:val="005E3775"/>
    <w:rsid w:val="005F54E6"/>
    <w:rsid w:val="00621AE3"/>
    <w:rsid w:val="00634AD9"/>
    <w:rsid w:val="00651B08"/>
    <w:rsid w:val="006520F1"/>
    <w:rsid w:val="00692F62"/>
    <w:rsid w:val="00695B70"/>
    <w:rsid w:val="006A3F5D"/>
    <w:rsid w:val="006B4A5A"/>
    <w:rsid w:val="006C7307"/>
    <w:rsid w:val="006D0B8F"/>
    <w:rsid w:val="006E3B95"/>
    <w:rsid w:val="0071665A"/>
    <w:rsid w:val="00740742"/>
    <w:rsid w:val="0074741F"/>
    <w:rsid w:val="00764E76"/>
    <w:rsid w:val="00775D01"/>
    <w:rsid w:val="00777CB7"/>
    <w:rsid w:val="007815D9"/>
    <w:rsid w:val="00786621"/>
    <w:rsid w:val="0078717B"/>
    <w:rsid w:val="00790B5D"/>
    <w:rsid w:val="007978A1"/>
    <w:rsid w:val="007A650F"/>
    <w:rsid w:val="007A7C5A"/>
    <w:rsid w:val="007B7B84"/>
    <w:rsid w:val="007E4430"/>
    <w:rsid w:val="00800D56"/>
    <w:rsid w:val="00802007"/>
    <w:rsid w:val="00821F1C"/>
    <w:rsid w:val="008456F2"/>
    <w:rsid w:val="0085566A"/>
    <w:rsid w:val="0085734D"/>
    <w:rsid w:val="00873A37"/>
    <w:rsid w:val="0088389D"/>
    <w:rsid w:val="008847F3"/>
    <w:rsid w:val="00891F58"/>
    <w:rsid w:val="008A1A08"/>
    <w:rsid w:val="008E021A"/>
    <w:rsid w:val="008E0580"/>
    <w:rsid w:val="008E5B47"/>
    <w:rsid w:val="00905CC8"/>
    <w:rsid w:val="0090602E"/>
    <w:rsid w:val="0091255F"/>
    <w:rsid w:val="00945621"/>
    <w:rsid w:val="00961F2D"/>
    <w:rsid w:val="0096427E"/>
    <w:rsid w:val="009763AA"/>
    <w:rsid w:val="00983A2F"/>
    <w:rsid w:val="00984EEB"/>
    <w:rsid w:val="009918F7"/>
    <w:rsid w:val="009B2663"/>
    <w:rsid w:val="009C3B19"/>
    <w:rsid w:val="009C7331"/>
    <w:rsid w:val="009D22B5"/>
    <w:rsid w:val="009D4550"/>
    <w:rsid w:val="009F47A3"/>
    <w:rsid w:val="00A23973"/>
    <w:rsid w:val="00A635A9"/>
    <w:rsid w:val="00A7259B"/>
    <w:rsid w:val="00A9331D"/>
    <w:rsid w:val="00A93C8A"/>
    <w:rsid w:val="00A95224"/>
    <w:rsid w:val="00AA49FB"/>
    <w:rsid w:val="00AB63FC"/>
    <w:rsid w:val="00AC3F37"/>
    <w:rsid w:val="00AC7CDC"/>
    <w:rsid w:val="00AD6B74"/>
    <w:rsid w:val="00AE02BF"/>
    <w:rsid w:val="00AE4146"/>
    <w:rsid w:val="00AE5968"/>
    <w:rsid w:val="00AF6009"/>
    <w:rsid w:val="00B00698"/>
    <w:rsid w:val="00B26522"/>
    <w:rsid w:val="00B415FE"/>
    <w:rsid w:val="00B65A0B"/>
    <w:rsid w:val="00B84591"/>
    <w:rsid w:val="00B878D6"/>
    <w:rsid w:val="00B92BE9"/>
    <w:rsid w:val="00B956EA"/>
    <w:rsid w:val="00BA331C"/>
    <w:rsid w:val="00BB6E09"/>
    <w:rsid w:val="00BC14BA"/>
    <w:rsid w:val="00BC1C76"/>
    <w:rsid w:val="00C14EC9"/>
    <w:rsid w:val="00C25AC5"/>
    <w:rsid w:val="00C4406A"/>
    <w:rsid w:val="00C532E9"/>
    <w:rsid w:val="00C57690"/>
    <w:rsid w:val="00C66D4A"/>
    <w:rsid w:val="00C70D94"/>
    <w:rsid w:val="00C76284"/>
    <w:rsid w:val="00C7756E"/>
    <w:rsid w:val="00C80C50"/>
    <w:rsid w:val="00C8317F"/>
    <w:rsid w:val="00C9627D"/>
    <w:rsid w:val="00C96601"/>
    <w:rsid w:val="00CB2F29"/>
    <w:rsid w:val="00CB3E94"/>
    <w:rsid w:val="00CB6BE7"/>
    <w:rsid w:val="00CC38CB"/>
    <w:rsid w:val="00CD0758"/>
    <w:rsid w:val="00CF74CB"/>
    <w:rsid w:val="00D071D3"/>
    <w:rsid w:val="00D1302E"/>
    <w:rsid w:val="00D27615"/>
    <w:rsid w:val="00D33264"/>
    <w:rsid w:val="00D407F9"/>
    <w:rsid w:val="00D60245"/>
    <w:rsid w:val="00D72F1D"/>
    <w:rsid w:val="00D9637C"/>
    <w:rsid w:val="00DA0312"/>
    <w:rsid w:val="00DB19AB"/>
    <w:rsid w:val="00DB6D66"/>
    <w:rsid w:val="00DC6663"/>
    <w:rsid w:val="00DF3B12"/>
    <w:rsid w:val="00E07527"/>
    <w:rsid w:val="00E177CE"/>
    <w:rsid w:val="00E17C50"/>
    <w:rsid w:val="00E2167F"/>
    <w:rsid w:val="00E265A0"/>
    <w:rsid w:val="00E41C25"/>
    <w:rsid w:val="00E56A4A"/>
    <w:rsid w:val="00E73277"/>
    <w:rsid w:val="00E74029"/>
    <w:rsid w:val="00E76F12"/>
    <w:rsid w:val="00E819E7"/>
    <w:rsid w:val="00E827C3"/>
    <w:rsid w:val="00EA7B9B"/>
    <w:rsid w:val="00EC26F7"/>
    <w:rsid w:val="00EC77CA"/>
    <w:rsid w:val="00EE02DF"/>
    <w:rsid w:val="00EE2D75"/>
    <w:rsid w:val="00EF2DF5"/>
    <w:rsid w:val="00F00169"/>
    <w:rsid w:val="00F16CF7"/>
    <w:rsid w:val="00F1745E"/>
    <w:rsid w:val="00F20D61"/>
    <w:rsid w:val="00F2486F"/>
    <w:rsid w:val="00F34A17"/>
    <w:rsid w:val="00F404F2"/>
    <w:rsid w:val="00F405E8"/>
    <w:rsid w:val="00F55A62"/>
    <w:rsid w:val="00F718C0"/>
    <w:rsid w:val="00FA45A9"/>
    <w:rsid w:val="00FA48F1"/>
    <w:rsid w:val="00FA6FFA"/>
    <w:rsid w:val="00FC2E83"/>
    <w:rsid w:val="00FD0446"/>
    <w:rsid w:val="00FE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E4011"/>
  <w15:docId w15:val="{17C35A35-D666-473C-BBEC-FCAF5EB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65"/>
    <w:rPr>
      <w:rFonts w:ascii="Times New Roman" w:eastAsia="Times New Roman" w:hAnsi="Times New Roman"/>
      <w:color w:val="000000"/>
      <w:kern w:val="28"/>
    </w:rPr>
  </w:style>
  <w:style w:type="paragraph" w:styleId="Heading1">
    <w:name w:val="heading 1"/>
    <w:link w:val="Heading1Char"/>
    <w:uiPriority w:val="9"/>
    <w:qFormat/>
    <w:rsid w:val="00C4406A"/>
    <w:pPr>
      <w:jc w:val="center"/>
      <w:outlineLvl w:val="0"/>
    </w:pPr>
    <w:rPr>
      <w:rFonts w:ascii="Times New Roman" w:eastAsia="Times New Roman" w:hAnsi="Times New Roman"/>
      <w:b/>
      <w:bCs/>
      <w:color w:val="000000"/>
      <w:kern w:val="28"/>
      <w:sz w:val="36"/>
      <w:szCs w:val="36"/>
    </w:rPr>
  </w:style>
  <w:style w:type="paragraph" w:styleId="Heading2">
    <w:name w:val="heading 2"/>
    <w:basedOn w:val="Normal"/>
    <w:next w:val="Normal"/>
    <w:link w:val="Heading2Char"/>
    <w:uiPriority w:val="9"/>
    <w:semiHidden/>
    <w:unhideWhenUsed/>
    <w:qFormat/>
    <w:rsid w:val="00C4406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B7"/>
    <w:pPr>
      <w:tabs>
        <w:tab w:val="center" w:pos="4680"/>
        <w:tab w:val="right" w:pos="9360"/>
      </w:tabs>
    </w:pPr>
  </w:style>
  <w:style w:type="character" w:customStyle="1" w:styleId="HeaderChar">
    <w:name w:val="Header Char"/>
    <w:link w:val="Header"/>
    <w:uiPriority w:val="99"/>
    <w:rsid w:val="00777CB7"/>
    <w:rPr>
      <w:rFonts w:ascii="Times New Roman" w:eastAsia="Times New Roman" w:hAnsi="Times New Roman"/>
      <w:color w:val="000000"/>
      <w:kern w:val="28"/>
    </w:rPr>
  </w:style>
  <w:style w:type="paragraph" w:styleId="Footer">
    <w:name w:val="footer"/>
    <w:basedOn w:val="Normal"/>
    <w:link w:val="FooterChar"/>
    <w:uiPriority w:val="99"/>
    <w:unhideWhenUsed/>
    <w:rsid w:val="00777CB7"/>
    <w:pPr>
      <w:tabs>
        <w:tab w:val="center" w:pos="4680"/>
        <w:tab w:val="right" w:pos="9360"/>
      </w:tabs>
    </w:pPr>
  </w:style>
  <w:style w:type="character" w:customStyle="1" w:styleId="FooterChar">
    <w:name w:val="Footer Char"/>
    <w:link w:val="Footer"/>
    <w:uiPriority w:val="99"/>
    <w:rsid w:val="00777CB7"/>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081E02"/>
    <w:rPr>
      <w:rFonts w:ascii="Tahoma" w:hAnsi="Tahoma" w:cs="Tahoma"/>
      <w:sz w:val="16"/>
      <w:szCs w:val="16"/>
    </w:rPr>
  </w:style>
  <w:style w:type="character" w:customStyle="1" w:styleId="BalloonTextChar">
    <w:name w:val="Balloon Text Char"/>
    <w:link w:val="BalloonText"/>
    <w:uiPriority w:val="99"/>
    <w:semiHidden/>
    <w:rsid w:val="00081E02"/>
    <w:rPr>
      <w:rFonts w:ascii="Tahoma" w:eastAsia="Times New Roman" w:hAnsi="Tahoma" w:cs="Tahoma"/>
      <w:color w:val="000000"/>
      <w:kern w:val="28"/>
      <w:sz w:val="16"/>
      <w:szCs w:val="16"/>
    </w:rPr>
  </w:style>
  <w:style w:type="paragraph" w:customStyle="1" w:styleId="Default">
    <w:name w:val="Default"/>
    <w:uiPriority w:val="99"/>
    <w:rsid w:val="00A635A9"/>
    <w:pPr>
      <w:widowControl w:val="0"/>
      <w:autoSpaceDE w:val="0"/>
      <w:autoSpaceDN w:val="0"/>
      <w:adjustRightInd w:val="0"/>
    </w:pPr>
    <w:rPr>
      <w:rFonts w:ascii="Arial" w:eastAsia="Times New Roman" w:hAnsi="Arial" w:cs="Arial"/>
      <w:color w:val="000000"/>
      <w:sz w:val="24"/>
      <w:szCs w:val="24"/>
    </w:rPr>
  </w:style>
  <w:style w:type="paragraph" w:customStyle="1" w:styleId="CM8">
    <w:name w:val="CM8"/>
    <w:basedOn w:val="Default"/>
    <w:next w:val="Default"/>
    <w:uiPriority w:val="99"/>
    <w:rsid w:val="00A635A9"/>
    <w:pPr>
      <w:spacing w:after="263"/>
    </w:pPr>
    <w:rPr>
      <w:color w:val="auto"/>
    </w:rPr>
  </w:style>
  <w:style w:type="paragraph" w:customStyle="1" w:styleId="CM2">
    <w:name w:val="CM2"/>
    <w:basedOn w:val="Default"/>
    <w:next w:val="Default"/>
    <w:uiPriority w:val="99"/>
    <w:rsid w:val="00A635A9"/>
    <w:pPr>
      <w:spacing w:line="278" w:lineRule="atLeast"/>
    </w:pPr>
    <w:rPr>
      <w:color w:val="auto"/>
    </w:rPr>
  </w:style>
  <w:style w:type="paragraph" w:customStyle="1" w:styleId="CM5">
    <w:name w:val="CM5"/>
    <w:basedOn w:val="Default"/>
    <w:next w:val="Default"/>
    <w:uiPriority w:val="99"/>
    <w:rsid w:val="00A635A9"/>
    <w:pPr>
      <w:spacing w:line="276" w:lineRule="atLeast"/>
    </w:pPr>
    <w:rPr>
      <w:color w:val="auto"/>
    </w:rPr>
  </w:style>
  <w:style w:type="paragraph" w:customStyle="1" w:styleId="CM6">
    <w:name w:val="CM6"/>
    <w:basedOn w:val="Default"/>
    <w:next w:val="Default"/>
    <w:uiPriority w:val="99"/>
    <w:rsid w:val="00A635A9"/>
    <w:pPr>
      <w:spacing w:line="276" w:lineRule="atLeast"/>
    </w:pPr>
    <w:rPr>
      <w:color w:val="auto"/>
    </w:rPr>
  </w:style>
  <w:style w:type="paragraph" w:customStyle="1" w:styleId="CM9">
    <w:name w:val="CM9"/>
    <w:basedOn w:val="Default"/>
    <w:next w:val="Default"/>
    <w:uiPriority w:val="99"/>
    <w:rsid w:val="00A635A9"/>
    <w:pPr>
      <w:spacing w:after="205"/>
    </w:pPr>
    <w:rPr>
      <w:color w:val="auto"/>
    </w:rPr>
  </w:style>
  <w:style w:type="character" w:styleId="Hyperlink">
    <w:name w:val="Hyperlink"/>
    <w:unhideWhenUsed/>
    <w:rsid w:val="003737E4"/>
    <w:rPr>
      <w:color w:val="0000FF"/>
      <w:u w:val="single"/>
    </w:rPr>
  </w:style>
  <w:style w:type="paragraph" w:styleId="ListParagraph">
    <w:name w:val="List Paragraph"/>
    <w:basedOn w:val="Normal"/>
    <w:uiPriority w:val="34"/>
    <w:qFormat/>
    <w:rsid w:val="00371F25"/>
    <w:pPr>
      <w:ind w:left="720"/>
      <w:contextualSpacing/>
    </w:pPr>
    <w:rPr>
      <w:color w:val="auto"/>
      <w:kern w:val="0"/>
    </w:rPr>
  </w:style>
  <w:style w:type="paragraph" w:styleId="BodyText">
    <w:name w:val="Body Text"/>
    <w:link w:val="BodyTextChar"/>
    <w:uiPriority w:val="99"/>
    <w:semiHidden/>
    <w:unhideWhenUsed/>
    <w:rsid w:val="00C4406A"/>
    <w:pPr>
      <w:spacing w:before="4" w:line="273" w:lineRule="exact"/>
    </w:pPr>
    <w:rPr>
      <w:rFonts w:ascii="Bookman Old Style" w:eastAsia="Times New Roman" w:hAnsi="Bookman Old Style"/>
      <w:color w:val="000000"/>
      <w:kern w:val="28"/>
    </w:rPr>
  </w:style>
  <w:style w:type="character" w:customStyle="1" w:styleId="BodyTextChar">
    <w:name w:val="Body Text Char"/>
    <w:link w:val="BodyText"/>
    <w:uiPriority w:val="99"/>
    <w:semiHidden/>
    <w:rsid w:val="00C4406A"/>
    <w:rPr>
      <w:rFonts w:ascii="Bookman Old Style" w:eastAsia="Times New Roman" w:hAnsi="Bookman Old Style"/>
      <w:color w:val="000000"/>
      <w:kern w:val="28"/>
    </w:rPr>
  </w:style>
  <w:style w:type="paragraph" w:styleId="Title">
    <w:name w:val="Title"/>
    <w:link w:val="TitleChar"/>
    <w:uiPriority w:val="10"/>
    <w:qFormat/>
    <w:rsid w:val="00C4406A"/>
    <w:pPr>
      <w:jc w:val="center"/>
    </w:pPr>
    <w:rPr>
      <w:rFonts w:ascii="Times New Roman" w:eastAsia="Times New Roman" w:hAnsi="Times New Roman"/>
      <w:b/>
      <w:bCs/>
      <w:color w:val="000000"/>
      <w:kern w:val="28"/>
      <w:sz w:val="28"/>
      <w:szCs w:val="28"/>
    </w:rPr>
  </w:style>
  <w:style w:type="character" w:customStyle="1" w:styleId="TitleChar">
    <w:name w:val="Title Char"/>
    <w:link w:val="Title"/>
    <w:uiPriority w:val="10"/>
    <w:rsid w:val="00C4406A"/>
    <w:rPr>
      <w:rFonts w:ascii="Times New Roman" w:eastAsia="Times New Roman" w:hAnsi="Times New Roman"/>
      <w:b/>
      <w:bCs/>
      <w:color w:val="000000"/>
      <w:kern w:val="28"/>
      <w:sz w:val="28"/>
      <w:szCs w:val="28"/>
    </w:rPr>
  </w:style>
  <w:style w:type="character" w:customStyle="1" w:styleId="Heading1Char">
    <w:name w:val="Heading 1 Char"/>
    <w:link w:val="Heading1"/>
    <w:uiPriority w:val="9"/>
    <w:rsid w:val="00C4406A"/>
    <w:rPr>
      <w:rFonts w:ascii="Times New Roman" w:eastAsia="Times New Roman" w:hAnsi="Times New Roman"/>
      <w:b/>
      <w:bCs/>
      <w:color w:val="000000"/>
      <w:kern w:val="28"/>
      <w:sz w:val="36"/>
      <w:szCs w:val="36"/>
    </w:rPr>
  </w:style>
  <w:style w:type="character" w:customStyle="1" w:styleId="Heading2Char">
    <w:name w:val="Heading 2 Char"/>
    <w:link w:val="Heading2"/>
    <w:uiPriority w:val="9"/>
    <w:semiHidden/>
    <w:rsid w:val="00C4406A"/>
    <w:rPr>
      <w:rFonts w:ascii="Cambria" w:eastAsia="Times New Roman" w:hAnsi="Cambria" w:cs="Times New Roman"/>
      <w:b/>
      <w:bCs/>
      <w:i/>
      <w:iCs/>
      <w:color w:val="000000"/>
      <w:kern w:val="28"/>
      <w:sz w:val="28"/>
      <w:szCs w:val="28"/>
    </w:rPr>
  </w:style>
  <w:style w:type="paragraph" w:styleId="Subtitle">
    <w:name w:val="Subtitle"/>
    <w:link w:val="SubtitleChar"/>
    <w:uiPriority w:val="11"/>
    <w:qFormat/>
    <w:rsid w:val="00C4406A"/>
    <w:pPr>
      <w:jc w:val="center"/>
    </w:pPr>
    <w:rPr>
      <w:rFonts w:ascii="Times" w:eastAsia="Times New Roman" w:hAnsi="Times" w:cs="Times"/>
      <w:b/>
      <w:bCs/>
      <w:color w:val="000000"/>
      <w:kern w:val="28"/>
      <w:sz w:val="28"/>
      <w:szCs w:val="28"/>
    </w:rPr>
  </w:style>
  <w:style w:type="character" w:customStyle="1" w:styleId="SubtitleChar">
    <w:name w:val="Subtitle Char"/>
    <w:link w:val="Subtitle"/>
    <w:uiPriority w:val="11"/>
    <w:rsid w:val="00C4406A"/>
    <w:rPr>
      <w:rFonts w:ascii="Times" w:eastAsia="Times New Roman" w:hAnsi="Times" w:cs="Times"/>
      <w:b/>
      <w:bCs/>
      <w:color w:val="000000"/>
      <w:kern w:val="28"/>
      <w:sz w:val="28"/>
      <w:szCs w:val="28"/>
    </w:rPr>
  </w:style>
  <w:style w:type="paragraph" w:customStyle="1" w:styleId="Normal0">
    <w:name w:val="[Normal]"/>
    <w:uiPriority w:val="99"/>
    <w:rsid w:val="00B84591"/>
    <w:pPr>
      <w:autoSpaceDE w:val="0"/>
      <w:autoSpaceDN w:val="0"/>
      <w:adjustRightInd w:val="0"/>
    </w:pPr>
    <w:rPr>
      <w:rFonts w:ascii="Arial" w:hAnsi="Arial" w:cs="Arial"/>
      <w:sz w:val="24"/>
      <w:szCs w:val="24"/>
    </w:rPr>
  </w:style>
  <w:style w:type="paragraph" w:customStyle="1" w:styleId="Pa4">
    <w:name w:val="Pa4"/>
    <w:basedOn w:val="Normal"/>
    <w:next w:val="Normal"/>
    <w:uiPriority w:val="99"/>
    <w:rsid w:val="005E3775"/>
    <w:pPr>
      <w:autoSpaceDE w:val="0"/>
      <w:autoSpaceDN w:val="0"/>
      <w:adjustRightInd w:val="0"/>
      <w:spacing w:line="241" w:lineRule="atLeast"/>
    </w:pPr>
    <w:rPr>
      <w:rFonts w:ascii="Century Gothic B" w:eastAsiaTheme="minorHAnsi" w:hAnsi="Century Gothic B" w:cstheme="minorBidi"/>
      <w:color w:val="auto"/>
      <w:kern w:val="0"/>
      <w:sz w:val="24"/>
      <w:szCs w:val="24"/>
    </w:rPr>
  </w:style>
  <w:style w:type="character" w:customStyle="1" w:styleId="A2">
    <w:name w:val="A2"/>
    <w:uiPriority w:val="99"/>
    <w:rsid w:val="005E3775"/>
    <w:rPr>
      <w:rFonts w:cs="Century Gothic B"/>
      <w:color w:val="000000"/>
      <w:sz w:val="20"/>
      <w:szCs w:val="20"/>
    </w:rPr>
  </w:style>
  <w:style w:type="paragraph" w:styleId="NormalWeb">
    <w:name w:val="Normal (Web)"/>
    <w:basedOn w:val="Normal"/>
    <w:uiPriority w:val="99"/>
    <w:unhideWhenUsed/>
    <w:rsid w:val="00786621"/>
    <w:rPr>
      <w:rFonts w:eastAsiaTheme="minorHAnsi"/>
      <w:color w:val="auto"/>
      <w:kern w:val="0"/>
      <w:sz w:val="24"/>
      <w:szCs w:val="24"/>
    </w:rPr>
  </w:style>
  <w:style w:type="character" w:styleId="UnresolvedMention">
    <w:name w:val="Unresolved Mention"/>
    <w:basedOn w:val="DefaultParagraphFont"/>
    <w:uiPriority w:val="99"/>
    <w:semiHidden/>
    <w:unhideWhenUsed/>
    <w:rsid w:val="00F16CF7"/>
    <w:rPr>
      <w:color w:val="605E5C"/>
      <w:shd w:val="clear" w:color="auto" w:fill="E1DFDD"/>
    </w:rPr>
  </w:style>
  <w:style w:type="character" w:styleId="CommentReference">
    <w:name w:val="annotation reference"/>
    <w:basedOn w:val="DefaultParagraphFont"/>
    <w:uiPriority w:val="99"/>
    <w:semiHidden/>
    <w:unhideWhenUsed/>
    <w:rsid w:val="00EC77CA"/>
    <w:rPr>
      <w:sz w:val="16"/>
      <w:szCs w:val="16"/>
    </w:rPr>
  </w:style>
  <w:style w:type="paragraph" w:styleId="CommentText">
    <w:name w:val="annotation text"/>
    <w:basedOn w:val="Normal"/>
    <w:link w:val="CommentTextChar"/>
    <w:uiPriority w:val="99"/>
    <w:semiHidden/>
    <w:unhideWhenUsed/>
    <w:rsid w:val="00EC77CA"/>
  </w:style>
  <w:style w:type="character" w:customStyle="1" w:styleId="CommentTextChar">
    <w:name w:val="Comment Text Char"/>
    <w:basedOn w:val="DefaultParagraphFont"/>
    <w:link w:val="CommentText"/>
    <w:uiPriority w:val="99"/>
    <w:semiHidden/>
    <w:rsid w:val="00EC77CA"/>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EC77CA"/>
    <w:rPr>
      <w:b/>
      <w:bCs/>
    </w:rPr>
  </w:style>
  <w:style w:type="character" w:customStyle="1" w:styleId="CommentSubjectChar">
    <w:name w:val="Comment Subject Char"/>
    <w:basedOn w:val="CommentTextChar"/>
    <w:link w:val="CommentSubject"/>
    <w:uiPriority w:val="99"/>
    <w:semiHidden/>
    <w:rsid w:val="00EC77CA"/>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09500877">
      <w:bodyDiv w:val="1"/>
      <w:marLeft w:val="0"/>
      <w:marRight w:val="0"/>
      <w:marTop w:val="0"/>
      <w:marBottom w:val="0"/>
      <w:divBdr>
        <w:top w:val="none" w:sz="0" w:space="0" w:color="auto"/>
        <w:left w:val="none" w:sz="0" w:space="0" w:color="auto"/>
        <w:bottom w:val="none" w:sz="0" w:space="0" w:color="auto"/>
        <w:right w:val="none" w:sz="0" w:space="0" w:color="auto"/>
      </w:divBdr>
    </w:div>
    <w:div w:id="477575387">
      <w:bodyDiv w:val="1"/>
      <w:marLeft w:val="0"/>
      <w:marRight w:val="0"/>
      <w:marTop w:val="0"/>
      <w:marBottom w:val="0"/>
      <w:divBdr>
        <w:top w:val="none" w:sz="0" w:space="0" w:color="auto"/>
        <w:left w:val="none" w:sz="0" w:space="0" w:color="auto"/>
        <w:bottom w:val="none" w:sz="0" w:space="0" w:color="auto"/>
        <w:right w:val="none" w:sz="0" w:space="0" w:color="auto"/>
      </w:divBdr>
    </w:div>
    <w:div w:id="574896134">
      <w:bodyDiv w:val="1"/>
      <w:marLeft w:val="0"/>
      <w:marRight w:val="0"/>
      <w:marTop w:val="0"/>
      <w:marBottom w:val="0"/>
      <w:divBdr>
        <w:top w:val="none" w:sz="0" w:space="0" w:color="auto"/>
        <w:left w:val="none" w:sz="0" w:space="0" w:color="auto"/>
        <w:bottom w:val="none" w:sz="0" w:space="0" w:color="auto"/>
        <w:right w:val="none" w:sz="0" w:space="0" w:color="auto"/>
      </w:divBdr>
    </w:div>
    <w:div w:id="983236895">
      <w:bodyDiv w:val="1"/>
      <w:marLeft w:val="0"/>
      <w:marRight w:val="0"/>
      <w:marTop w:val="0"/>
      <w:marBottom w:val="0"/>
      <w:divBdr>
        <w:top w:val="none" w:sz="0" w:space="0" w:color="auto"/>
        <w:left w:val="none" w:sz="0" w:space="0" w:color="auto"/>
        <w:bottom w:val="none" w:sz="0" w:space="0" w:color="auto"/>
        <w:right w:val="none" w:sz="0" w:space="0" w:color="auto"/>
      </w:divBdr>
    </w:div>
    <w:div w:id="1270812747">
      <w:bodyDiv w:val="1"/>
      <w:marLeft w:val="0"/>
      <w:marRight w:val="0"/>
      <w:marTop w:val="0"/>
      <w:marBottom w:val="0"/>
      <w:divBdr>
        <w:top w:val="none" w:sz="0" w:space="0" w:color="auto"/>
        <w:left w:val="none" w:sz="0" w:space="0" w:color="auto"/>
        <w:bottom w:val="none" w:sz="0" w:space="0" w:color="auto"/>
        <w:right w:val="none" w:sz="0" w:space="0" w:color="auto"/>
      </w:divBdr>
    </w:div>
    <w:div w:id="1560942107">
      <w:bodyDiv w:val="1"/>
      <w:marLeft w:val="0"/>
      <w:marRight w:val="0"/>
      <w:marTop w:val="0"/>
      <w:marBottom w:val="0"/>
      <w:divBdr>
        <w:top w:val="none" w:sz="0" w:space="0" w:color="auto"/>
        <w:left w:val="none" w:sz="0" w:space="0" w:color="auto"/>
        <w:bottom w:val="none" w:sz="0" w:space="0" w:color="auto"/>
        <w:right w:val="none" w:sz="0" w:space="0" w:color="auto"/>
      </w:divBdr>
    </w:div>
    <w:div w:id="1833833222">
      <w:bodyDiv w:val="1"/>
      <w:marLeft w:val="0"/>
      <w:marRight w:val="0"/>
      <w:marTop w:val="0"/>
      <w:marBottom w:val="0"/>
      <w:divBdr>
        <w:top w:val="none" w:sz="0" w:space="0" w:color="auto"/>
        <w:left w:val="none" w:sz="0" w:space="0" w:color="auto"/>
        <w:bottom w:val="none" w:sz="0" w:space="0" w:color="auto"/>
        <w:right w:val="none" w:sz="0" w:space="0" w:color="auto"/>
      </w:divBdr>
      <w:divsChild>
        <w:div w:id="2062443146">
          <w:marLeft w:val="0"/>
          <w:marRight w:val="0"/>
          <w:marTop w:val="0"/>
          <w:marBottom w:val="0"/>
          <w:divBdr>
            <w:top w:val="none" w:sz="0" w:space="0" w:color="auto"/>
            <w:left w:val="none" w:sz="0" w:space="0" w:color="auto"/>
            <w:bottom w:val="none" w:sz="0" w:space="0" w:color="auto"/>
            <w:right w:val="none" w:sz="0" w:space="0" w:color="auto"/>
          </w:divBdr>
          <w:divsChild>
            <w:div w:id="1019088880">
              <w:marLeft w:val="0"/>
              <w:marRight w:val="0"/>
              <w:marTop w:val="0"/>
              <w:marBottom w:val="0"/>
              <w:divBdr>
                <w:top w:val="none" w:sz="0" w:space="0" w:color="auto"/>
                <w:left w:val="none" w:sz="0" w:space="0" w:color="auto"/>
                <w:bottom w:val="none" w:sz="0" w:space="0" w:color="auto"/>
                <w:right w:val="none" w:sz="0" w:space="0" w:color="auto"/>
              </w:divBdr>
              <w:divsChild>
                <w:div w:id="772868805">
                  <w:marLeft w:val="0"/>
                  <w:marRight w:val="0"/>
                  <w:marTop w:val="0"/>
                  <w:marBottom w:val="0"/>
                  <w:divBdr>
                    <w:top w:val="none" w:sz="0" w:space="0" w:color="auto"/>
                    <w:left w:val="none" w:sz="0" w:space="0" w:color="auto"/>
                    <w:bottom w:val="none" w:sz="0" w:space="0" w:color="auto"/>
                    <w:right w:val="none" w:sz="0" w:space="0" w:color="auto"/>
                  </w:divBdr>
                  <w:divsChild>
                    <w:div w:id="278805769">
                      <w:marLeft w:val="0"/>
                      <w:marRight w:val="0"/>
                      <w:marTop w:val="0"/>
                      <w:marBottom w:val="0"/>
                      <w:divBdr>
                        <w:top w:val="none" w:sz="0" w:space="0" w:color="auto"/>
                        <w:left w:val="none" w:sz="0" w:space="0" w:color="auto"/>
                        <w:bottom w:val="none" w:sz="0" w:space="0" w:color="auto"/>
                        <w:right w:val="none" w:sz="0" w:space="0" w:color="auto"/>
                      </w:divBdr>
                      <w:divsChild>
                        <w:div w:id="421687057">
                          <w:marLeft w:val="0"/>
                          <w:marRight w:val="0"/>
                          <w:marTop w:val="0"/>
                          <w:marBottom w:val="0"/>
                          <w:divBdr>
                            <w:top w:val="none" w:sz="0" w:space="0" w:color="auto"/>
                            <w:left w:val="none" w:sz="0" w:space="0" w:color="auto"/>
                            <w:bottom w:val="none" w:sz="0" w:space="0" w:color="auto"/>
                            <w:right w:val="none" w:sz="0" w:space="0" w:color="auto"/>
                          </w:divBdr>
                          <w:divsChild>
                            <w:div w:id="505902556">
                              <w:marLeft w:val="0"/>
                              <w:marRight w:val="0"/>
                              <w:marTop w:val="0"/>
                              <w:marBottom w:val="0"/>
                              <w:divBdr>
                                <w:top w:val="none" w:sz="0" w:space="0" w:color="auto"/>
                                <w:left w:val="none" w:sz="0" w:space="0" w:color="auto"/>
                                <w:bottom w:val="none" w:sz="0" w:space="0" w:color="auto"/>
                                <w:right w:val="none" w:sz="0" w:space="0" w:color="auto"/>
                              </w:divBdr>
                              <w:divsChild>
                                <w:div w:id="257753996">
                                  <w:marLeft w:val="0"/>
                                  <w:marRight w:val="0"/>
                                  <w:marTop w:val="0"/>
                                  <w:marBottom w:val="0"/>
                                  <w:divBdr>
                                    <w:top w:val="none" w:sz="0" w:space="0" w:color="auto"/>
                                    <w:left w:val="none" w:sz="0" w:space="0" w:color="auto"/>
                                    <w:bottom w:val="none" w:sz="0" w:space="0" w:color="auto"/>
                                    <w:right w:val="none" w:sz="0" w:space="0" w:color="auto"/>
                                  </w:divBdr>
                                  <w:divsChild>
                                    <w:div w:id="895429115">
                                      <w:marLeft w:val="0"/>
                                      <w:marRight w:val="0"/>
                                      <w:marTop w:val="0"/>
                                      <w:marBottom w:val="0"/>
                                      <w:divBdr>
                                        <w:top w:val="none" w:sz="0" w:space="0" w:color="auto"/>
                                        <w:left w:val="none" w:sz="0" w:space="0" w:color="auto"/>
                                        <w:bottom w:val="none" w:sz="0" w:space="0" w:color="auto"/>
                                        <w:right w:val="none" w:sz="0" w:space="0" w:color="auto"/>
                                      </w:divBdr>
                                      <w:divsChild>
                                        <w:div w:id="1540898595">
                                          <w:marLeft w:val="0"/>
                                          <w:marRight w:val="0"/>
                                          <w:marTop w:val="0"/>
                                          <w:marBottom w:val="0"/>
                                          <w:divBdr>
                                            <w:top w:val="none" w:sz="0" w:space="0" w:color="auto"/>
                                            <w:left w:val="none" w:sz="0" w:space="0" w:color="auto"/>
                                            <w:bottom w:val="none" w:sz="0" w:space="0" w:color="auto"/>
                                            <w:right w:val="none" w:sz="0" w:space="0" w:color="auto"/>
                                          </w:divBdr>
                                          <w:divsChild>
                                            <w:div w:id="32970240">
                                              <w:marLeft w:val="0"/>
                                              <w:marRight w:val="0"/>
                                              <w:marTop w:val="0"/>
                                              <w:marBottom w:val="0"/>
                                              <w:divBdr>
                                                <w:top w:val="none" w:sz="0" w:space="0" w:color="auto"/>
                                                <w:left w:val="none" w:sz="0" w:space="0" w:color="auto"/>
                                                <w:bottom w:val="none" w:sz="0" w:space="0" w:color="auto"/>
                                                <w:right w:val="none" w:sz="0" w:space="0" w:color="auto"/>
                                              </w:divBdr>
                                            </w:div>
                                            <w:div w:id="1563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122485">
      <w:bodyDiv w:val="1"/>
      <w:marLeft w:val="0"/>
      <w:marRight w:val="0"/>
      <w:marTop w:val="0"/>
      <w:marBottom w:val="0"/>
      <w:divBdr>
        <w:top w:val="none" w:sz="0" w:space="0" w:color="auto"/>
        <w:left w:val="none" w:sz="0" w:space="0" w:color="auto"/>
        <w:bottom w:val="none" w:sz="0" w:space="0" w:color="auto"/>
        <w:right w:val="none" w:sz="0" w:space="0" w:color="auto"/>
      </w:divBdr>
    </w:div>
    <w:div w:id="1907523278">
      <w:bodyDiv w:val="1"/>
      <w:marLeft w:val="0"/>
      <w:marRight w:val="0"/>
      <w:marTop w:val="0"/>
      <w:marBottom w:val="0"/>
      <w:divBdr>
        <w:top w:val="none" w:sz="0" w:space="0" w:color="auto"/>
        <w:left w:val="none" w:sz="0" w:space="0" w:color="auto"/>
        <w:bottom w:val="none" w:sz="0" w:space="0" w:color="auto"/>
        <w:right w:val="none" w:sz="0" w:space="0" w:color="auto"/>
      </w:divBdr>
    </w:div>
    <w:div w:id="1926379626">
      <w:bodyDiv w:val="1"/>
      <w:marLeft w:val="0"/>
      <w:marRight w:val="0"/>
      <w:marTop w:val="0"/>
      <w:marBottom w:val="0"/>
      <w:divBdr>
        <w:top w:val="none" w:sz="0" w:space="0" w:color="auto"/>
        <w:left w:val="none" w:sz="0" w:space="0" w:color="auto"/>
        <w:bottom w:val="none" w:sz="0" w:space="0" w:color="auto"/>
        <w:right w:val="none" w:sz="0" w:space="0" w:color="auto"/>
      </w:divBdr>
    </w:div>
    <w:div w:id="2069451297">
      <w:bodyDiv w:val="1"/>
      <w:marLeft w:val="0"/>
      <w:marRight w:val="0"/>
      <w:marTop w:val="0"/>
      <w:marBottom w:val="0"/>
      <w:divBdr>
        <w:top w:val="none" w:sz="0" w:space="0" w:color="auto"/>
        <w:left w:val="none" w:sz="0" w:space="0" w:color="auto"/>
        <w:bottom w:val="none" w:sz="0" w:space="0" w:color="auto"/>
        <w:right w:val="none" w:sz="0" w:space="0" w:color="auto"/>
      </w:divBdr>
    </w:div>
    <w:div w:id="21365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78f4aa-6d92-46ce-adee-0272a18b11df">
      <UserInfo>
        <DisplayName>Nicole Willingham</DisplayName>
        <AccountId>228</AccountId>
        <AccountType/>
      </UserInfo>
    </SharedWithUsers>
    <lcf76f155ced4ddcb4097134ff3c332f xmlns="9e7abae1-faa5-43e9-81bc-62822899d359">
      <Terms xmlns="http://schemas.microsoft.com/office/infopath/2007/PartnerControls"/>
    </lcf76f155ced4ddcb4097134ff3c332f>
    <TaxCatchAll xmlns="b178f4aa-6d92-46ce-adee-0272a18b11df" xsi:nil="true"/>
    <Quality xmlns="9e7abae1-faa5-43e9-81bc-62822899d359">Complete</Quality>
    <Last_x0020_Updated_x0020_By xmlns="9e7abae1-faa5-43e9-81bc-62822899d359" xsi:nil="true"/>
    <Approval_x0020_Status xmlns="9e7abae1-faa5-43e9-81bc-62822899d359">Initial File</Approval_x0020_Status>
    <_Flow_SignoffStatus xmlns="9e7abae1-faa5-43e9-81bc-62822899d3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3359EDB63244FBB8928629AC13000" ma:contentTypeVersion="21" ma:contentTypeDescription="Create a new document." ma:contentTypeScope="" ma:versionID="f0b4623e005dfe5314f4a351e1c58580">
  <xsd:schema xmlns:xsd="http://www.w3.org/2001/XMLSchema" xmlns:xs="http://www.w3.org/2001/XMLSchema" xmlns:p="http://schemas.microsoft.com/office/2006/metadata/properties" xmlns:ns2="9e7abae1-faa5-43e9-81bc-62822899d359" xmlns:ns3="b178f4aa-6d92-46ce-adee-0272a18b11df" targetNamespace="http://schemas.microsoft.com/office/2006/metadata/properties" ma:root="true" ma:fieldsID="3cc59883a9c6d435318cde5779c347ad" ns2:_="" ns3:_="">
    <xsd:import namespace="9e7abae1-faa5-43e9-81bc-62822899d359"/>
    <xsd:import namespace="b178f4aa-6d92-46ce-adee-0272a18b1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ast_x0020_Updated_x0020_By" minOccurs="0"/>
                <xsd:element ref="ns2:Approval_x0020_Status" minOccurs="0"/>
                <xsd:element ref="ns2:_Flow_SignoffStatus" minOccurs="0"/>
                <xsd:element ref="ns2:MediaLengthInSeconds" minOccurs="0"/>
                <xsd:element ref="ns2:Qualit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abae1-faa5-43e9-81bc-62822899d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ast_x0020_Updated_x0020_By" ma:index="19" nillable="true" ma:displayName="Last Updated By" ma:format="Dropdown" ma:internalName="Last_x0020_Updated_x0020_By">
      <xsd:simpleType>
        <xsd:restriction base="dms:Choice">
          <xsd:enumeration value="Paylocity"/>
          <xsd:enumeration value="ABD Accounts"/>
          <xsd:enumeration value="ABD Systems"/>
          <xsd:enumeration value="ABD EB-Other"/>
          <xsd:enumeration value="Client"/>
        </xsd:restriction>
      </xsd:simpleType>
    </xsd:element>
    <xsd:element name="Approval_x0020_Status" ma:index="20" nillable="true" ma:displayName="Approval Status" ma:default="Initial File" ma:format="Dropdown" ma:internalName="Approval_x0020_Status">
      <xsd:simpleType>
        <xsd:restriction base="dms:Choice">
          <xsd:enumeration value="Initial File"/>
          <xsd:enumeration value="Work In Progress"/>
          <xsd:enumeration value="Approved"/>
          <xsd:enumeration value="Rejected"/>
          <xsd:enumeration value="Approved after Update"/>
          <xsd:enumeration value="Update and Resubmit"/>
          <xsd:enumeration value="In Production"/>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Quality" ma:index="23" nillable="true" ma:displayName="Quality" ma:default="Complete" ma:format="Dropdown" ma:internalName="Quality">
      <xsd:simpleType>
        <xsd:restriction base="dms:Choice">
          <xsd:enumeration value="Deprecated"/>
          <xsd:enumeration value="Draft"/>
          <xsd:enumeration value="Complete"/>
          <xsd:enumeration value="Polished"/>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6b84f8-f679-4841-903a-02102b2b3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8f4aa-6d92-46ce-adee-0272a18b1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127d48f-db31-4f6c-8d04-48d35a12a8cf}" ma:internalName="TaxCatchAll" ma:showField="CatchAllData" ma:web="b178f4aa-6d92-46ce-adee-0272a18b1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41556-3404-4928-9AF5-08F89480DB6B}">
  <ds:schemaRefs>
    <ds:schemaRef ds:uri="http://schemas.microsoft.com/office/2006/metadata/properties"/>
    <ds:schemaRef ds:uri="http://schemas.microsoft.com/office/infopath/2007/PartnerControls"/>
    <ds:schemaRef ds:uri="dd371b1a-7f33-4388-94f9-cd4fae77d073"/>
  </ds:schemaRefs>
</ds:datastoreItem>
</file>

<file path=customXml/itemProps2.xml><?xml version="1.0" encoding="utf-8"?>
<ds:datastoreItem xmlns:ds="http://schemas.openxmlformats.org/officeDocument/2006/customXml" ds:itemID="{624F6008-DD1D-4704-8CFC-7CC7AAAC0378}"/>
</file>

<file path=customXml/itemProps3.xml><?xml version="1.0" encoding="utf-8"?>
<ds:datastoreItem xmlns:ds="http://schemas.openxmlformats.org/officeDocument/2006/customXml" ds:itemID="{A31DAF5B-AC7F-4A80-A812-31A745F27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2023 Annual Notification of Benefit Rights</vt:lpstr>
    </vt:vector>
  </TitlesOfParts>
  <Company>Advanced Professionals</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Notification of Benefit Rights (Creditable)</dc:title>
  <dc:creator>brian.gilmore@theabdteam.com</dc:creator>
  <cp:lastModifiedBy>Ryan Ingersoll</cp:lastModifiedBy>
  <cp:revision>3</cp:revision>
  <cp:lastPrinted>2022-06-27T00:25:00Z</cp:lastPrinted>
  <dcterms:created xsi:type="dcterms:W3CDTF">2022-09-20T22:49:00Z</dcterms:created>
  <dcterms:modified xsi:type="dcterms:W3CDTF">2022-09-22T18:04:00Z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0x0101007F03359EDB63244FBB8928629AC13000</vt:lpwstr>
  </property>
</Properties>
</file>